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10" w:rsidRPr="00BE0D10" w:rsidRDefault="00BE0D10" w:rsidP="00BE0D10">
      <w:pPr>
        <w:shd w:val="clear" w:color="auto" w:fill="FFFFFF"/>
        <w:spacing w:after="255" w:line="300" w:lineRule="atLeast"/>
        <w:outlineLvl w:val="1"/>
        <w:rPr>
          <w:rFonts w:ascii="Arial" w:eastAsia="Times New Roman" w:hAnsi="Arial" w:cs="Arial"/>
          <w:b/>
          <w:bCs/>
          <w:color w:val="4D4D4D"/>
          <w:sz w:val="27"/>
          <w:szCs w:val="27"/>
          <w:lang w:eastAsia="ru-RU"/>
        </w:rPr>
      </w:pPr>
      <w:r w:rsidRPr="00BE0D10">
        <w:rPr>
          <w:rFonts w:ascii="Arial" w:eastAsia="Times New Roman" w:hAnsi="Arial" w:cs="Arial"/>
          <w:b/>
          <w:bCs/>
          <w:color w:val="4D4D4D"/>
          <w:sz w:val="27"/>
          <w:szCs w:val="27"/>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(направлялись письмом Министерства труда и социальной защиты РФ от 27 декабря 2019 г. N 18-2/10/В-11200)</w:t>
      </w:r>
    </w:p>
    <w:p w:rsidR="00BE0D10" w:rsidRPr="00BE0D10" w:rsidRDefault="00BE0D10" w:rsidP="00BE0D10">
      <w:pPr>
        <w:shd w:val="clear" w:color="auto" w:fill="FFFFFF"/>
        <w:spacing w:after="180" w:line="240" w:lineRule="auto"/>
        <w:rPr>
          <w:rFonts w:ascii="Arial" w:eastAsia="Times New Roman" w:hAnsi="Arial" w:cs="Arial"/>
          <w:color w:val="333333"/>
          <w:sz w:val="21"/>
          <w:szCs w:val="21"/>
          <w:lang w:eastAsia="ru-RU"/>
        </w:rPr>
      </w:pPr>
      <w:r w:rsidRPr="00BE0D10">
        <w:rPr>
          <w:rFonts w:ascii="Arial" w:eastAsia="Times New Roman" w:hAnsi="Arial" w:cs="Arial"/>
          <w:color w:val="333333"/>
          <w:sz w:val="21"/>
          <w:szCs w:val="21"/>
          <w:lang w:eastAsia="ru-RU"/>
        </w:rPr>
        <w:t>15 января 2020</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BE0D10">
        <w:rPr>
          <w:rFonts w:ascii="Arial" w:eastAsia="Times New Roman" w:hAnsi="Arial" w:cs="Arial"/>
          <w:color w:val="333333"/>
          <w:sz w:val="23"/>
          <w:szCs w:val="23"/>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I. Представление сведений о доходах, расходах, об имуществе и обязательствах имущественного характера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Лица, обязанные представлять сведения о доходах, расходах, об имуществе и обязательствах имущественного характера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r:id="rId5" w:anchor="104" w:history="1">
        <w:r w:rsidRPr="00BE0D10">
          <w:rPr>
            <w:rFonts w:ascii="Arial" w:eastAsia="Times New Roman" w:hAnsi="Arial" w:cs="Arial"/>
            <w:color w:val="808080"/>
            <w:sz w:val="23"/>
            <w:szCs w:val="23"/>
            <w:u w:val="single"/>
            <w:bdr w:val="none" w:sz="0" w:space="0" w:color="auto" w:frame="1"/>
            <w:lang w:eastAsia="ru-RU"/>
          </w:rPr>
          <w:t>подпунктом 2</w:t>
        </w:r>
      </w:hyperlink>
      <w:r w:rsidRPr="00BE0D10">
        <w:rPr>
          <w:rFonts w:ascii="Arial" w:eastAsia="Times New Roman" w:hAnsi="Arial" w:cs="Arial"/>
          <w:color w:val="333333"/>
          <w:sz w:val="23"/>
          <w:szCs w:val="23"/>
          <w:lang w:eastAsia="ru-RU"/>
        </w:rPr>
        <w:t> настоящего пункта);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 иными лицами в соответствии с законодательством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любой должности государственной службы (поступающим на службу);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должности муниципальной службы, включенной в перечни, утвержденные нормативными правовыми актами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 должности финансового уполномоченного, руководителя службы обеспечения деятельности финансового уполномоченного;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 иных должностей в соответствии с законодательством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Обязательность представления сведений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6" w:anchor="128" w:history="1">
        <w:r w:rsidRPr="00BE0D10">
          <w:rPr>
            <w:rFonts w:ascii="Arial" w:eastAsia="Times New Roman" w:hAnsi="Arial" w:cs="Arial"/>
            <w:color w:val="808080"/>
            <w:sz w:val="23"/>
            <w:szCs w:val="23"/>
            <w:u w:val="single"/>
            <w:bdr w:val="none" w:sz="0" w:space="0" w:color="auto" w:frame="1"/>
            <w:lang w:eastAsia="ru-RU"/>
          </w:rPr>
          <w:t>пункте 7</w:t>
        </w:r>
      </w:hyperlink>
      <w:r w:rsidRPr="00BE0D10">
        <w:rPr>
          <w:rFonts w:ascii="Arial" w:eastAsia="Times New Roman" w:hAnsi="Arial" w:cs="Arial"/>
          <w:color w:val="333333"/>
          <w:sz w:val="23"/>
          <w:szCs w:val="23"/>
          <w:lang w:eastAsia="ru-RU"/>
        </w:rPr>
        <w:t> настоящих Методических рекомендаций.</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Сроки представления сведений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7. Служащие (работники) представляют сведения ежегодно в следующие сроки: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 Сведения могут быть представлены служащим (работником) в любое время, начиная с 1 января года, следующего за отчетным.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7" w:anchor="125" w:history="1">
        <w:r w:rsidRPr="00BE0D10">
          <w:rPr>
            <w:rFonts w:ascii="Arial" w:eastAsia="Times New Roman" w:hAnsi="Arial" w:cs="Arial"/>
            <w:color w:val="808080"/>
            <w:sz w:val="23"/>
            <w:szCs w:val="23"/>
            <w:u w:val="single"/>
            <w:bdr w:val="none" w:sz="0" w:space="0" w:color="auto" w:frame="1"/>
            <w:lang w:eastAsia="ru-RU"/>
          </w:rPr>
          <w:t>пункте 5</w:t>
        </w:r>
      </w:hyperlink>
      <w:r w:rsidRPr="00BE0D10">
        <w:rPr>
          <w:rFonts w:ascii="Arial" w:eastAsia="Times New Roman" w:hAnsi="Arial" w:cs="Arial"/>
          <w:color w:val="333333"/>
          <w:sz w:val="23"/>
          <w:szCs w:val="23"/>
          <w:lang w:eastAsia="ru-RU"/>
        </w:rPr>
        <w:t> настоящих Методический рекомендаций.</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Лица, в отношении которых представляются сведения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 Сведения представляются отдельно: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в отношении служащего (работника),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в отношении его супруги (супруга),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в отношении каждого несовершеннолетнего ребенка служащего (работника).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 Отчетный период и отчетная дата представления сведений, установленные для граждан и служащих (работников), различны: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гражданин представляет: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w:t>
      </w:r>
      <w:r w:rsidRPr="00BE0D10">
        <w:rPr>
          <w:rFonts w:ascii="Arial" w:eastAsia="Times New Roman" w:hAnsi="Arial" w:cs="Arial"/>
          <w:color w:val="333333"/>
          <w:sz w:val="23"/>
          <w:szCs w:val="23"/>
          <w:lang w:eastAsia="ru-RU"/>
        </w:rPr>
        <w:lastRenderedPageBreak/>
        <w:t>средствах и ценных бумагах, отчужденных в течение указанного периода в результате безвозмездной сделки;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служащий (работник) представляет ежегодно: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Замещение конкретной должности на отчетную дату как основание для представления сведений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15. Представление сведений после увольнения служащего (работника) в период с 1 января по 1 (30) апреля 2020 г. не требуется.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Определение круга лиц (членов семьи), в отношении которых необходимо представить сведения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Супруги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Перечень ситуаций и рекомендуемые действия (</w:t>
      </w:r>
      <w:hyperlink r:id="rId8" w:anchor="1" w:history="1">
        <w:r w:rsidRPr="00BE0D10">
          <w:rPr>
            <w:rFonts w:ascii="Arial" w:eastAsia="Times New Roman" w:hAnsi="Arial" w:cs="Arial"/>
            <w:color w:val="808080"/>
            <w:sz w:val="23"/>
            <w:szCs w:val="23"/>
            <w:u w:val="single"/>
            <w:bdr w:val="none" w:sz="0" w:space="0" w:color="auto" w:frame="1"/>
            <w:lang w:eastAsia="ru-RU"/>
          </w:rPr>
          <w:t>таблица N 1</w:t>
        </w:r>
      </w:hyperlink>
      <w:r w:rsidRPr="00BE0D10">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654"/>
        <w:gridCol w:w="5731"/>
      </w:tblGrid>
      <w:tr w:rsidR="00BE0D10" w:rsidRPr="00BE0D10" w:rsidTr="00BE0D10">
        <w:tc>
          <w:tcPr>
            <w:tcW w:w="0" w:type="auto"/>
            <w:gridSpan w:val="2"/>
            <w:hideMark/>
          </w:tcPr>
          <w:p w:rsidR="00BE0D10" w:rsidRPr="00BE0D10" w:rsidRDefault="00BE0D10" w:rsidP="00BE0D10">
            <w:pPr>
              <w:spacing w:after="0" w:line="240" w:lineRule="auto"/>
              <w:rPr>
                <w:rFonts w:ascii="Times New Roman" w:eastAsia="Times New Roman" w:hAnsi="Times New Roman" w:cs="Times New Roman"/>
                <w:b/>
                <w:bCs/>
                <w:sz w:val="24"/>
                <w:szCs w:val="24"/>
                <w:lang w:eastAsia="ru-RU"/>
              </w:rPr>
            </w:pPr>
            <w:r w:rsidRPr="00BE0D10">
              <w:rPr>
                <w:rFonts w:ascii="Times New Roman" w:eastAsia="Times New Roman" w:hAnsi="Times New Roman" w:cs="Times New Roman"/>
                <w:b/>
                <w:bCs/>
                <w:sz w:val="24"/>
                <w:szCs w:val="24"/>
                <w:lang w:eastAsia="ru-RU"/>
              </w:rPr>
              <w:t>Пример: служащий (работник) представляет сведения в 2020 году (за отчетный 2019 г.)</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Брак заключен в органах записи актов гражданского состояния (далее - ЗАГС) в ноябре 2019 года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Брак заключен в ЗАГСе в марте 2020 года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BE0D10" w:rsidRPr="00BE0D10" w:rsidTr="00BE0D10">
        <w:tc>
          <w:tcPr>
            <w:tcW w:w="0" w:type="auto"/>
            <w:gridSpan w:val="2"/>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Брак заключен 1 февраля 2020 года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супруги представляются, поскольку по состоянию на отчетную дату (1 августа 2020 года) гражданин состоял в браке</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Брак заключен 2 августа 2020 года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 xml:space="preserve">сведения в отношении супруги не представляются, </w:t>
            </w:r>
            <w:r w:rsidRPr="00BE0D10">
              <w:rPr>
                <w:rFonts w:ascii="Times New Roman" w:eastAsia="Times New Roman" w:hAnsi="Times New Roman" w:cs="Times New Roman"/>
                <w:sz w:val="24"/>
                <w:szCs w:val="24"/>
                <w:lang w:eastAsia="ru-RU"/>
              </w:rPr>
              <w:lastRenderedPageBreak/>
              <w:t>поскольку по состоянию на отчетную дату (1 августа 2020 года) гражданин еще не вступил в брак</w:t>
            </w:r>
          </w:p>
        </w:tc>
      </w:tr>
    </w:tbl>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Перечень ситуаций и рекомендуемые действия (</w:t>
      </w:r>
      <w:hyperlink r:id="rId9" w:anchor="2" w:history="1">
        <w:r w:rsidRPr="00BE0D10">
          <w:rPr>
            <w:rFonts w:ascii="Arial" w:eastAsia="Times New Roman" w:hAnsi="Arial" w:cs="Arial"/>
            <w:color w:val="808080"/>
            <w:sz w:val="23"/>
            <w:szCs w:val="23"/>
            <w:u w:val="single"/>
            <w:bdr w:val="none" w:sz="0" w:space="0" w:color="auto" w:frame="1"/>
            <w:lang w:eastAsia="ru-RU"/>
          </w:rPr>
          <w:t>таблица N 2</w:t>
        </w:r>
      </w:hyperlink>
      <w:r w:rsidRPr="00BE0D10">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365"/>
        <w:gridCol w:w="6020"/>
      </w:tblGrid>
      <w:tr w:rsidR="00BE0D10" w:rsidRPr="00BE0D10" w:rsidTr="00BE0D10">
        <w:tc>
          <w:tcPr>
            <w:tcW w:w="0" w:type="auto"/>
            <w:gridSpan w:val="2"/>
            <w:hideMark/>
          </w:tcPr>
          <w:p w:rsidR="00BE0D10" w:rsidRPr="00BE0D10" w:rsidRDefault="00BE0D10" w:rsidP="00BE0D10">
            <w:pPr>
              <w:spacing w:after="0" w:line="240" w:lineRule="auto"/>
              <w:rPr>
                <w:rFonts w:ascii="Times New Roman" w:eastAsia="Times New Roman" w:hAnsi="Times New Roman" w:cs="Times New Roman"/>
                <w:b/>
                <w:bCs/>
                <w:sz w:val="24"/>
                <w:szCs w:val="24"/>
                <w:lang w:eastAsia="ru-RU"/>
              </w:rPr>
            </w:pPr>
            <w:r w:rsidRPr="00BE0D10">
              <w:rPr>
                <w:rFonts w:ascii="Times New Roman" w:eastAsia="Times New Roman" w:hAnsi="Times New Roman" w:cs="Times New Roman"/>
                <w:b/>
                <w:bCs/>
                <w:sz w:val="24"/>
                <w:szCs w:val="24"/>
                <w:lang w:eastAsia="ru-RU"/>
              </w:rPr>
              <w:t>Пример: служащий (работник) представляет сведения в 2020 году (за отчетный 2019 г.)</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Брак был расторгнут в ЗАГСе в ноябре 2019 года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Окончательное решение о расторжении брака было принято судом 12 декабря 2019 года и вступило в законную силу 12 января 2020 года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Брак был расторгнут в ЗАГСе в марте 2020 года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BE0D10" w:rsidRPr="00BE0D10" w:rsidTr="00BE0D10">
        <w:tc>
          <w:tcPr>
            <w:tcW w:w="0" w:type="auto"/>
            <w:gridSpan w:val="2"/>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Брак был расторгнут в ЗАГСе 1 июля 2020 года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Брак был расторгнут в ЗАГСе 2 августа 2020 года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Окончательное решение о расторжении брака было принято судом 4 июля 2020 года и вступило в законную силу 4 августа 2020 г.</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Несовершеннолетние дети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Перечень ситуаций и рекомендуемые действия (</w:t>
      </w:r>
      <w:hyperlink r:id="rId10" w:anchor="3" w:history="1">
        <w:r w:rsidRPr="00BE0D10">
          <w:rPr>
            <w:rFonts w:ascii="Arial" w:eastAsia="Times New Roman" w:hAnsi="Arial" w:cs="Arial"/>
            <w:color w:val="808080"/>
            <w:sz w:val="23"/>
            <w:szCs w:val="23"/>
            <w:u w:val="single"/>
            <w:bdr w:val="none" w:sz="0" w:space="0" w:color="auto" w:frame="1"/>
            <w:lang w:eastAsia="ru-RU"/>
          </w:rPr>
          <w:t>таблица N 3</w:t>
        </w:r>
      </w:hyperlink>
      <w:r w:rsidRPr="00BE0D10">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363"/>
        <w:gridCol w:w="7022"/>
      </w:tblGrid>
      <w:tr w:rsidR="00BE0D10" w:rsidRPr="00BE0D10" w:rsidTr="00BE0D10">
        <w:tc>
          <w:tcPr>
            <w:tcW w:w="0" w:type="auto"/>
            <w:gridSpan w:val="2"/>
            <w:hideMark/>
          </w:tcPr>
          <w:p w:rsidR="00BE0D10" w:rsidRPr="00BE0D10" w:rsidRDefault="00BE0D10" w:rsidP="00BE0D10">
            <w:pPr>
              <w:spacing w:after="0" w:line="240" w:lineRule="auto"/>
              <w:rPr>
                <w:rFonts w:ascii="Times New Roman" w:eastAsia="Times New Roman" w:hAnsi="Times New Roman" w:cs="Times New Roman"/>
                <w:b/>
                <w:bCs/>
                <w:sz w:val="24"/>
                <w:szCs w:val="24"/>
                <w:lang w:eastAsia="ru-RU"/>
              </w:rPr>
            </w:pPr>
            <w:r w:rsidRPr="00BE0D10">
              <w:rPr>
                <w:rFonts w:ascii="Times New Roman" w:eastAsia="Times New Roman" w:hAnsi="Times New Roman" w:cs="Times New Roman"/>
                <w:b/>
                <w:bCs/>
                <w:sz w:val="24"/>
                <w:szCs w:val="24"/>
                <w:lang w:eastAsia="ru-RU"/>
              </w:rPr>
              <w:t>Пример: служащий (работник) представляет сведения в 2020 году (за отчетный 2019 г.)</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Дочери служащего (работника) 21 мая 2019 года исполнилось 18 лет</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Дочери служащего (работника) 30 декабря 2019 года исполнилось 18 лет</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Дочери служащего (работника) 31 декабря 2019 года исполнилось 18 лет</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BE0D10" w:rsidRPr="00BE0D10" w:rsidTr="00BE0D10">
        <w:tc>
          <w:tcPr>
            <w:tcW w:w="0" w:type="auto"/>
            <w:gridSpan w:val="2"/>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Сыну гражданина 5 мая 2020 года исполнилось 18 лет</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Сыну гражданина 1 августа 2020 года исполнилось 18 лет</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Сыну гражданина 17 августа 2020 года исполнилось 18 лет</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Уточнение представленных сведений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w:t>
      </w:r>
      <w:r w:rsidRPr="00BE0D10">
        <w:rPr>
          <w:rFonts w:ascii="Arial" w:eastAsia="Times New Roman" w:hAnsi="Arial" w:cs="Arial"/>
          <w:color w:val="333333"/>
          <w:sz w:val="23"/>
          <w:szCs w:val="23"/>
          <w:lang w:eastAsia="ru-RU"/>
        </w:rPr>
        <w:lastRenderedPageBreak/>
        <w:t>одного месяца со дня представления сведений в соответствии с законодательством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Рекомендуемые действия при невозможности представить сведения в отношении члена семьи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30. Заявление должно быть направлено до истечения срока, установленного для представления служащим (работником) сведений.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Заявление подается (</w:t>
      </w:r>
      <w:hyperlink r:id="rId11" w:anchor="4" w:history="1">
        <w:r w:rsidRPr="00BE0D10">
          <w:rPr>
            <w:rFonts w:ascii="Arial" w:eastAsia="Times New Roman" w:hAnsi="Arial" w:cs="Arial"/>
            <w:color w:val="808080"/>
            <w:sz w:val="23"/>
            <w:szCs w:val="23"/>
            <w:u w:val="single"/>
            <w:bdr w:val="none" w:sz="0" w:space="0" w:color="auto" w:frame="1"/>
            <w:lang w:eastAsia="ru-RU"/>
          </w:rPr>
          <w:t>таблица N 4</w:t>
        </w:r>
      </w:hyperlink>
      <w:r w:rsidRPr="00BE0D10">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33"/>
        <w:gridCol w:w="4652"/>
      </w:tblGrid>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b/>
                <w:bCs/>
                <w:sz w:val="24"/>
                <w:szCs w:val="24"/>
                <w:lang w:eastAsia="ru-RU"/>
              </w:rPr>
            </w:pPr>
            <w:r w:rsidRPr="00BE0D10">
              <w:rPr>
                <w:rFonts w:ascii="Times New Roman" w:eastAsia="Times New Roman" w:hAnsi="Times New Roman" w:cs="Times New Roman"/>
                <w:b/>
                <w:bCs/>
                <w:sz w:val="24"/>
                <w:szCs w:val="24"/>
                <w:lang w:eastAsia="ru-RU"/>
              </w:rPr>
              <w:t>В Управление Президента Российской Федерации по вопросам противодействия коррупции</w:t>
            </w:r>
          </w:p>
        </w:tc>
        <w:tc>
          <w:tcPr>
            <w:tcW w:w="0" w:type="auto"/>
            <w:hideMark/>
          </w:tcPr>
          <w:p w:rsidR="00BE0D10" w:rsidRPr="00BE0D10" w:rsidRDefault="00BE0D10" w:rsidP="00BE0D10">
            <w:pPr>
              <w:spacing w:after="0" w:line="240" w:lineRule="auto"/>
              <w:rPr>
                <w:rFonts w:ascii="Times New Roman" w:eastAsia="Times New Roman" w:hAnsi="Times New Roman" w:cs="Times New Roman"/>
                <w:b/>
                <w:bCs/>
                <w:sz w:val="24"/>
                <w:szCs w:val="24"/>
                <w:lang w:eastAsia="ru-RU"/>
              </w:rPr>
            </w:pPr>
            <w:r w:rsidRPr="00BE0D10">
              <w:rPr>
                <w:rFonts w:ascii="Times New Roman" w:eastAsia="Times New Roman" w:hAnsi="Times New Roman" w:cs="Times New Roman"/>
                <w:b/>
                <w:bCs/>
                <w:sz w:val="24"/>
                <w:szCs w:val="24"/>
                <w:lang w:eastAsia="ru-RU"/>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w:t>
            </w:r>
            <w:r w:rsidRPr="00BE0D10">
              <w:rPr>
                <w:rFonts w:ascii="Times New Roman" w:eastAsia="Times New Roman" w:hAnsi="Times New Roman" w:cs="Times New Roman"/>
                <w:b/>
                <w:bCs/>
                <w:sz w:val="24"/>
                <w:szCs w:val="24"/>
                <w:lang w:eastAsia="ru-RU"/>
              </w:rPr>
              <w:lastRenderedPageBreak/>
              <w:t>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lastRenderedPageBreak/>
              <w:t>В Департамент государственной службы и кадров Правительства Российской Федерации</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w:t>
            </w:r>
            <w:r w:rsidRPr="00BE0D10">
              <w:rPr>
                <w:rFonts w:ascii="Times New Roman" w:eastAsia="Times New Roman" w:hAnsi="Times New Roman" w:cs="Times New Roman"/>
                <w:sz w:val="24"/>
                <w:szCs w:val="24"/>
                <w:lang w:eastAsia="ru-RU"/>
              </w:rPr>
              <w:lastRenderedPageBreak/>
              <w:t>публично-правовой компании), иной организации, созданной на основании федерального закона</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lastRenderedPageBreak/>
              <w:t>В подразделение по профилактике коррупционных и иных правонарушений Центрального банка Российской Федерации</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II. Заполнение справки о доходах, расходах, об имуществе и обязательствах имущественного характера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33.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Одновременно необходимо не допускать ситуаций, при которых дата и время печати справки будут отличаться на листах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для печати справок используется лазерный принтер, обеспечивающий качественную печать.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не допускаются дефекты печати в виде полос, пятен (при дефектах барабана или картриджа принтера).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не допускается наличие подписи и пометок на линейных и двумерных штрих-кодах.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Кроме того, листы одной справки не следует менять или вставлять в другие справки, даже если они содержат идентичную информацию.</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Справки не рекомендуется прошивать и фиксировать скрепкой.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Также рекомендуется обеспечить печать справки и ее заверение в течение одного дня.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Печатать справки рекомендуется только на одной стороне листа.</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Титульный лист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38. При заполнении титульного листа справки рекомендуется обратить внимание на следующее: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дата рождения (год рождения) указывается в соответствии с записью в документе, удостоверяющем личность;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w:t>
      </w:r>
      <w:r w:rsidRPr="00BE0D10">
        <w:rPr>
          <w:rFonts w:ascii="Arial" w:eastAsia="Times New Roman" w:hAnsi="Arial" w:cs="Arial"/>
          <w:color w:val="333333"/>
          <w:sz w:val="23"/>
          <w:szCs w:val="23"/>
          <w:lang w:eastAsia="ru-RU"/>
        </w:rPr>
        <w:lastRenderedPageBreak/>
        <w:t>воспитанником (учащимся) которого он является, или "находится на домашнем воспитании".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заполнении справки лицом, замещающим муниципальную должность на непостоянной основе, указывается муниципальная должность;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Раздел 1. Сведения о доходах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39.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Доход по основному месту работы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40. 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Особенности заполнения данного раздела отдельными категориями лиц</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43.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Доход от педагогической и научной деятельности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45.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Доход от иной творческой деятельности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47.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Доход от вкладов в банках и иных кредитных организациях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49.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51. Доход, полученный в иностранной валюте, указывается в рублях по курсу Банка России на дату получения дохода.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54. Не рекомендуется проводить какие-либо самостоятельные расчеты, поскольку вероятно возникновение различного рода ошибок.</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w:t>
      </w:r>
      <w:r w:rsidRPr="00BE0D10">
        <w:rPr>
          <w:rFonts w:ascii="Arial" w:eastAsia="Times New Roman" w:hAnsi="Arial" w:cs="Arial"/>
          <w:color w:val="333333"/>
          <w:sz w:val="23"/>
          <w:szCs w:val="23"/>
          <w:lang w:eastAsia="ru-RU"/>
        </w:rPr>
        <w:lastRenderedPageBreak/>
        <w:t>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Доход от ценных бумаг и долей участия в коммерческих организациях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Иные доходы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58. В данной строке указываются доходы, которые не были отражены в строках 1-5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Так, например, в строке иные доходы могут быть указаны: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пенсия (при этом разные виды пенсий (по возрасту и пенсия военнослужащего) не следует суммировать);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 стипендия;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 проценты по долговым обязательствам;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 денежные средства, полученные в порядке дарения или наследования;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 возмещение вреда, причиненного увечьем или иным повреждением здоровья;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17) выплаты, связанные с гибелью (смертью), выплаченные наследникам;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18) выплаты денежных сумм, осуществленные на основании договоров страхования. При этом в отношении договоров страхования, поименованных в </w:t>
      </w:r>
      <w:hyperlink r:id="rId12" w:anchor="456" w:history="1">
        <w:r w:rsidRPr="00BE0D10">
          <w:rPr>
            <w:rFonts w:ascii="Arial" w:eastAsia="Times New Roman" w:hAnsi="Arial" w:cs="Arial"/>
            <w:color w:val="808080"/>
            <w:sz w:val="23"/>
            <w:szCs w:val="23"/>
            <w:u w:val="single"/>
            <w:bdr w:val="none" w:sz="0" w:space="0" w:color="auto" w:frame="1"/>
            <w:lang w:eastAsia="ru-RU"/>
          </w:rPr>
          <w:t>подпункте 3 пункта 158</w:t>
        </w:r>
      </w:hyperlink>
      <w:r w:rsidRPr="00BE0D10">
        <w:rPr>
          <w:rFonts w:ascii="Arial" w:eastAsia="Times New Roman" w:hAnsi="Arial" w:cs="Arial"/>
          <w:color w:val="333333"/>
          <w:sz w:val="23"/>
          <w:szCs w:val="23"/>
          <w:lang w:eastAsia="ru-RU"/>
        </w:rPr>
        <w:t>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23) выигрыши в лотереях, тотализаторах, конкурсах и иных играх;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24) выплаты членам профсоюзных организаций, полученные от данных профсоюзных организаций;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26) вознаграждение, полученное при осуществлении опеки или попечительства на возмездной основе;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27) доход, полученный индивидуальным предпринимателем (указывается согласно бухгалтерской (финансовой) отчетности или в соответствии с </w:t>
      </w:r>
      <w:hyperlink r:id="rId13" w:anchor="196" w:history="1">
        <w:r w:rsidRPr="00BE0D10">
          <w:rPr>
            <w:rFonts w:ascii="Arial" w:eastAsia="Times New Roman" w:hAnsi="Arial" w:cs="Arial"/>
            <w:color w:val="808080"/>
            <w:sz w:val="23"/>
            <w:szCs w:val="23"/>
            <w:u w:val="single"/>
            <w:bdr w:val="none" w:sz="0" w:space="0" w:color="auto" w:frame="1"/>
            <w:lang w:eastAsia="ru-RU"/>
          </w:rPr>
          <w:t>пунктом 42</w:t>
        </w:r>
      </w:hyperlink>
      <w:r w:rsidRPr="00BE0D10">
        <w:rPr>
          <w:rFonts w:ascii="Arial" w:eastAsia="Times New Roman" w:hAnsi="Arial" w:cs="Arial"/>
          <w:color w:val="333333"/>
          <w:sz w:val="23"/>
          <w:szCs w:val="23"/>
          <w:lang w:eastAsia="ru-RU"/>
        </w:rPr>
        <w:t> настоящих Методических рекомендаций);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29) денежные средства, полученные в качестве оплаты услуг или товаров;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32) доход, полученный по договорам переуступки прав требования на строящиеся объекты недвижимости;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34) выплаченная ликвидационная стоимость ценных бумаг при ликвидации коммерческой организации;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35) денежные средства, полученные в связи с прощением долга служащему (работнику), его супруге (супругу) или несовершеннолетним детям;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36) иные аналогичные выплаты.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59. Формой справки не предусмотрено указание товаров, услуг, полученных в натуральной форме (например, организация и (или) оплата страховщиком </w:t>
      </w:r>
      <w:r w:rsidRPr="00BE0D10">
        <w:rPr>
          <w:rFonts w:ascii="Arial" w:eastAsia="Times New Roman" w:hAnsi="Arial" w:cs="Arial"/>
          <w:color w:val="333333"/>
          <w:sz w:val="23"/>
          <w:szCs w:val="23"/>
          <w:lang w:eastAsia="ru-RU"/>
        </w:rPr>
        <w:lastRenderedPageBreak/>
        <w:t>восстановительного ремонта поврежденного транспортного средства по договору страхования), а также виртуальных валют.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60.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со служебными командировками за счет средств работодателя;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с оплатой стоимости и (или) выдачи полагающегося натурального довольствия, а также выплатой денежных средств взамен этого довольствия;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с приобретением проездных документов для исполнения служебных (должностных) обязанностей;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 с оплатой коммунальных и иных услуг, наймом жилого помещения;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 с внесением родительской платы за посещение дошкольного образовательного учреждения;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61. Также не указываются сведения о денежных средствах, полученных: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в виде социального, имущественного, инвестиционного налогового вычета;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от продажи различного вида подарочных сертификатов (карт), выпущенных предприятиями торговли;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в качестве возврата налога на добавленную стоимость, уплаченного при совершении покупок за границей, по чекам Tax-free;</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 в качестве вознаграждения донорам за сданную кровь, ее компонентов (и иную помощь);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 в качестве возмещения расходов на повышение профессионального уровня за счет средств представителя нанимателя (работодателя);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 в качестве перевода (между супругами и (или) несовершеннолетними детьми (аналогично в части, касающейся наличных денежных средств);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 в связи с возвратом денежных средств по несостоявшемуся договору купли-продажи;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Раздел 2. Сведения о расходах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63.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64. Данный раздел справки также подлежит заполнению при наличии обстоятельств, перечисленных в </w:t>
      </w:r>
      <w:hyperlink r:id="rId14" w:anchor="285" w:history="1">
        <w:r w:rsidRPr="00BE0D10">
          <w:rPr>
            <w:rFonts w:ascii="Arial" w:eastAsia="Times New Roman" w:hAnsi="Arial" w:cs="Arial"/>
            <w:color w:val="808080"/>
            <w:sz w:val="23"/>
            <w:szCs w:val="23"/>
            <w:u w:val="single"/>
            <w:bdr w:val="none" w:sz="0" w:space="0" w:color="auto" w:frame="1"/>
            <w:lang w:eastAsia="ru-RU"/>
          </w:rPr>
          <w:t>пункте 63</w:t>
        </w:r>
      </w:hyperlink>
      <w:r w:rsidRPr="00BE0D10">
        <w:rPr>
          <w:rFonts w:ascii="Arial" w:eastAsia="Times New Roman" w:hAnsi="Arial" w:cs="Arial"/>
          <w:color w:val="333333"/>
          <w:sz w:val="23"/>
          <w:szCs w:val="23"/>
          <w:lang w:eastAsia="ru-RU"/>
        </w:rPr>
        <w:t xml:space="preserve"> настоящих Методических рекомендаций, и в случае представления сведений в отношении гражданина, зарегистрированного в качестве </w:t>
      </w:r>
      <w:r w:rsidRPr="00BE0D10">
        <w:rPr>
          <w:rFonts w:ascii="Arial" w:eastAsia="Times New Roman" w:hAnsi="Arial" w:cs="Arial"/>
          <w:color w:val="333333"/>
          <w:sz w:val="23"/>
          <w:szCs w:val="23"/>
          <w:lang w:eastAsia="ru-RU"/>
        </w:rPr>
        <w:lastRenderedPageBreak/>
        <w:t>индивидуального предпринимателя, по сделке (сделкам), совершенным в рамках предпринимательской деятельности.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65. Граждане, поступающие на службу (работу), раздел "Сведения о расходах" не заполняют.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66. Заполнение данного раздела при отсутствии указанных в </w:t>
      </w:r>
      <w:hyperlink r:id="rId15" w:anchor="285" w:history="1">
        <w:r w:rsidRPr="00BE0D10">
          <w:rPr>
            <w:rFonts w:ascii="Arial" w:eastAsia="Times New Roman" w:hAnsi="Arial" w:cs="Arial"/>
            <w:color w:val="808080"/>
            <w:sz w:val="23"/>
            <w:szCs w:val="23"/>
            <w:u w:val="single"/>
            <w:bdr w:val="none" w:sz="0" w:space="0" w:color="auto" w:frame="1"/>
            <w:lang w:eastAsia="ru-RU"/>
          </w:rPr>
          <w:t>пункте 63</w:t>
        </w:r>
      </w:hyperlink>
      <w:r w:rsidRPr="00BE0D10">
        <w:rPr>
          <w:rFonts w:ascii="Arial" w:eastAsia="Times New Roman" w:hAnsi="Arial" w:cs="Arial"/>
          <w:color w:val="333333"/>
          <w:sz w:val="23"/>
          <w:szCs w:val="23"/>
          <w:lang w:eastAsia="ru-RU"/>
        </w:rPr>
        <w:t> настоящих Методических рекомендаций оснований не является нарушением.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68. Для цели реализации </w:t>
      </w:r>
      <w:hyperlink r:id="rId16" w:anchor="285" w:history="1">
        <w:r w:rsidRPr="00BE0D10">
          <w:rPr>
            <w:rFonts w:ascii="Arial" w:eastAsia="Times New Roman" w:hAnsi="Arial" w:cs="Arial"/>
            <w:color w:val="808080"/>
            <w:sz w:val="23"/>
            <w:szCs w:val="23"/>
            <w:u w:val="single"/>
            <w:bdr w:val="none" w:sz="0" w:space="0" w:color="auto" w:frame="1"/>
            <w:lang w:eastAsia="ru-RU"/>
          </w:rPr>
          <w:t>пункта 63</w:t>
        </w:r>
      </w:hyperlink>
      <w:r w:rsidRPr="00BE0D10">
        <w:rPr>
          <w:rFonts w:ascii="Arial" w:eastAsia="Times New Roman" w:hAnsi="Arial" w:cs="Arial"/>
          <w:color w:val="333333"/>
          <w:sz w:val="23"/>
          <w:szCs w:val="23"/>
          <w:lang w:eastAsia="ru-RU"/>
        </w:rPr>
        <w:t>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70. Данный раздел не заполняется в следующих случаях: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71.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72.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75.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76. Особенности заполнения раздела "Сведения о расходах":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w:t>
      </w:r>
      <w:r w:rsidRPr="00BE0D10">
        <w:rPr>
          <w:rFonts w:ascii="Arial" w:eastAsia="Times New Roman" w:hAnsi="Arial" w:cs="Arial"/>
          <w:color w:val="333333"/>
          <w:sz w:val="23"/>
          <w:szCs w:val="23"/>
          <w:lang w:eastAsia="ru-RU"/>
        </w:rPr>
        <w:lastRenderedPageBreak/>
        <w:t>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Раздел 3. Сведения об имуществе</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Подраздел 3.1 Недвижимое имущество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Заполнение графы "Вид и наименование имущества"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83.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w:t>
      </w:r>
      <w:r w:rsidRPr="00BE0D10">
        <w:rPr>
          <w:rFonts w:ascii="Arial" w:eastAsia="Times New Roman" w:hAnsi="Arial" w:cs="Arial"/>
          <w:color w:val="333333"/>
          <w:sz w:val="23"/>
          <w:szCs w:val="23"/>
          <w:lang w:eastAsia="ru-RU"/>
        </w:rPr>
        <w:lastRenderedPageBreak/>
        <w:t>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85.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86.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87. В графе "Вид собственности" указывается вид собственности на имущество (индивидуальная, общая совместная, общая долевая).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88.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90. Местонахождение (адрес) недвижимого имущества указывается согласно правоустанавливающим документам. При этом указывается: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субъект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район;</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3) город, иной населенный пункт (село, поселок и т.д.);</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улица (проспект, переулок и т.д.);</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номер дома (владения, участка), корпуса (строения), квартиры.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Также рекомендуется указывать индекс.</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91. Если недвижимое имущество находится за рубежом, то указывается: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наименование государства;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населенный пункт (иная единица административно-территориального деления);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почтовый адрес.</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Основание приобретения и источники средств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94.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95. В случае если право на недвижимое имущество возникло до вступления в силу Федерального закона от 21 июля 1997 г. N 122-ФЗ "О государственной регистрации </w:t>
      </w:r>
      <w:r w:rsidRPr="00BE0D10">
        <w:rPr>
          <w:rFonts w:ascii="Arial" w:eastAsia="Times New Roman" w:hAnsi="Arial" w:cs="Arial"/>
          <w:color w:val="333333"/>
          <w:sz w:val="23"/>
          <w:szCs w:val="23"/>
          <w:lang w:eastAsia="ru-RU"/>
        </w:rPr>
        <w:lastRenderedPageBreak/>
        <w:t>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на лиц, замещающих (занимающих):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государственные должности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должности первого заместителя и заместителей Генерального прокурора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должности членов Совета директоров Центрального банка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государственные должности субъектов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должности заместителей руководителей федеральных органов исполнительной власти;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на супруг (супругов), несовершеннолетних детей лиц, указанных в </w:t>
      </w:r>
      <w:hyperlink r:id="rId17" w:anchor="5" w:history="1">
        <w:r w:rsidRPr="00BE0D10">
          <w:rPr>
            <w:rFonts w:ascii="Arial" w:eastAsia="Times New Roman" w:hAnsi="Arial" w:cs="Arial"/>
            <w:color w:val="808080"/>
            <w:sz w:val="23"/>
            <w:szCs w:val="23"/>
            <w:u w:val="single"/>
            <w:bdr w:val="none" w:sz="0" w:space="0" w:color="auto" w:frame="1"/>
            <w:lang w:eastAsia="ru-RU"/>
          </w:rPr>
          <w:t>абзацах втором-десятом подпункта 1</w:t>
        </w:r>
      </w:hyperlink>
      <w:r w:rsidRPr="00BE0D10">
        <w:rPr>
          <w:rFonts w:ascii="Arial" w:eastAsia="Times New Roman" w:hAnsi="Arial" w:cs="Arial"/>
          <w:color w:val="333333"/>
          <w:sz w:val="23"/>
          <w:szCs w:val="23"/>
          <w:lang w:eastAsia="ru-RU"/>
        </w:rPr>
        <w:t> настоящего пункта;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иных лиц в случаях, предусмотренных федеральными законами.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Сведения о вышеуказанном источнике отображаются в справке ежегодно, вне зависимости от года приобретения имущества.</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Подраздел 3.2. Транспортные средства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Также допускается указание кода подразделения ГИБДД в соответствии со свидетельством о регистрации транспортного средства.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103. Аналогичным подходом необходимо руководствоваться при указании в данном подразделе водного, воздушного транспорта.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104. В строке 7 "Иные транспортные средства" подлежат указанию, в частности, прицепы, зарегистрированные в установленном порядке.</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Раздел 4. Сведения о счетах в банках и иных кредитных организациях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105.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счета с нулевым остатком по состоянию на отчетную дату;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счета (вклады) в иностранных банках, расположенных за пределами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счета, открытые для погашения кредита;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 вклады (счета) в драгоценных металлах (в том числе указывается вид счета и металл, в котором он открыт);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 номинальный счет;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9) счет эскроу.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107. С учетом целей антикоррупционного законодательства Российской Федерации в данном разделе не указываются следующие счета: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счета, закрытые по состоянию на отчетную дату;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депозитные счета нотариуса;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счета доверительного управления;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 открываемые не на основании гражданско-правового договора счета, счета депо, счета брокера, индивидуальные инвестиционные счета;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 синтетические счета.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110. В соответствии с указанной Инструкцией физическим лицам открываются следующие счета: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текущий счет (для совершения операций, не связанных с предпринимательской деятельностью или частной практикой);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111. В графе "Дата открытия счета" не допускается указание даты выпуска (перевыпуска) платежной карты.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112. Графа "Остаток на счете" заполняется по состоянию на отчетную дату.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этом в данной графе следует сделать специальную пометку "Выписка N от _______ на листе (листах)".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Для лиц, указанных в </w:t>
      </w:r>
      <w:hyperlink r:id="rId18" w:anchor="112" w:history="1">
        <w:r w:rsidRPr="00BE0D10">
          <w:rPr>
            <w:rFonts w:ascii="Arial" w:eastAsia="Times New Roman" w:hAnsi="Arial" w:cs="Arial"/>
            <w:color w:val="808080"/>
            <w:sz w:val="23"/>
            <w:szCs w:val="23"/>
            <w:u w:val="single"/>
            <w:bdr w:val="none" w:sz="0" w:space="0" w:color="auto" w:frame="1"/>
            <w:lang w:eastAsia="ru-RU"/>
          </w:rPr>
          <w:t>пункте 2</w:t>
        </w:r>
      </w:hyperlink>
      <w:r w:rsidRPr="00BE0D10">
        <w:rPr>
          <w:rFonts w:ascii="Arial" w:eastAsia="Times New Roman" w:hAnsi="Arial" w:cs="Arial"/>
          <w:color w:val="333333"/>
          <w:sz w:val="23"/>
          <w:szCs w:val="23"/>
          <w:lang w:eastAsia="ru-RU"/>
        </w:rPr>
        <w:t xml:space="preserve"> настоящих Методических рекомендаций, впервые начинающих трудовую деятельность, например, после окончания высшего учебного </w:t>
      </w:r>
      <w:r w:rsidRPr="00BE0D10">
        <w:rPr>
          <w:rFonts w:ascii="Arial" w:eastAsia="Times New Roman" w:hAnsi="Arial" w:cs="Arial"/>
          <w:color w:val="333333"/>
          <w:sz w:val="23"/>
          <w:szCs w:val="23"/>
          <w:lang w:eastAsia="ru-RU"/>
        </w:rPr>
        <w:lastRenderedPageBreak/>
        <w:t>заведения, графа "Сумма поступивших на счет денежных средств" часто подлежит заполнению в связи с незначительными доходами в предыдущие годы.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Для счетов в иностранной валюте сумма указывается в рублях по курсу Банка России на отчетную дату.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Совместный счет</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Кредитные карты, карты с овердрафтом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116. Банк (иная кредитная организация) выпускает следующие виды карт (</w:t>
      </w:r>
      <w:hyperlink r:id="rId19" w:anchor="6" w:history="1">
        <w:r w:rsidRPr="00BE0D10">
          <w:rPr>
            <w:rFonts w:ascii="Arial" w:eastAsia="Times New Roman" w:hAnsi="Arial" w:cs="Arial"/>
            <w:color w:val="808080"/>
            <w:sz w:val="23"/>
            <w:szCs w:val="23"/>
            <w:u w:val="single"/>
            <w:bdr w:val="none" w:sz="0" w:space="0" w:color="auto" w:frame="1"/>
            <w:lang w:eastAsia="ru-RU"/>
          </w:rPr>
          <w:t>таблица N 5</w:t>
        </w:r>
      </w:hyperlink>
      <w:r w:rsidRPr="00BE0D10">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496"/>
        <w:gridCol w:w="7889"/>
      </w:tblGrid>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b/>
                <w:bCs/>
                <w:sz w:val="24"/>
                <w:szCs w:val="24"/>
                <w:lang w:eastAsia="ru-RU"/>
              </w:rPr>
            </w:pPr>
            <w:r w:rsidRPr="00BE0D10">
              <w:rPr>
                <w:rFonts w:ascii="Times New Roman" w:eastAsia="Times New Roman" w:hAnsi="Times New Roman" w:cs="Times New Roman"/>
                <w:b/>
                <w:bCs/>
                <w:sz w:val="24"/>
                <w:szCs w:val="24"/>
                <w:lang w:eastAsia="ru-RU"/>
              </w:rPr>
              <w:t>Расчетная (дебетовая)</w:t>
            </w:r>
          </w:p>
        </w:tc>
        <w:tc>
          <w:tcPr>
            <w:tcW w:w="0" w:type="auto"/>
            <w:hideMark/>
          </w:tcPr>
          <w:p w:rsidR="00BE0D10" w:rsidRPr="00BE0D10" w:rsidRDefault="00BE0D10" w:rsidP="00BE0D10">
            <w:pPr>
              <w:spacing w:after="0" w:line="240" w:lineRule="auto"/>
              <w:rPr>
                <w:rFonts w:ascii="Times New Roman" w:eastAsia="Times New Roman" w:hAnsi="Times New Roman" w:cs="Times New Roman"/>
                <w:b/>
                <w:bCs/>
                <w:sz w:val="24"/>
                <w:szCs w:val="24"/>
                <w:lang w:eastAsia="ru-RU"/>
              </w:rPr>
            </w:pPr>
            <w:r w:rsidRPr="00BE0D10">
              <w:rPr>
                <w:rFonts w:ascii="Times New Roman" w:eastAsia="Times New Roman" w:hAnsi="Times New Roman" w:cs="Times New Roman"/>
                <w:b/>
                <w:bCs/>
                <w:sz w:val="24"/>
                <w:szCs w:val="24"/>
                <w:lang w:eastAsia="ru-RU"/>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E0D10" w:rsidRPr="00BE0D10" w:rsidTr="00BE0D10">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Кредитная</w:t>
            </w:r>
          </w:p>
        </w:tc>
        <w:tc>
          <w:tcPr>
            <w:tcW w:w="0" w:type="auto"/>
            <w:hideMark/>
          </w:tcPr>
          <w:p w:rsidR="00BE0D10" w:rsidRPr="00BE0D10" w:rsidRDefault="00BE0D10" w:rsidP="00BE0D10">
            <w:pPr>
              <w:spacing w:after="0"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117. Расчетная (дебетовая) и кредитные карты, как правило, предполагают открытие и ведение банком (иной кредитной организацией) счета.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Отзыв лицензии у кредитной организации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125. До момента закрытия соответствующего счета, счет считается открытым и подлежит отражению в разделе 4 справки.</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Ликвидация кредитной организации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w:t>
      </w:r>
      <w:r w:rsidRPr="00BE0D10">
        <w:rPr>
          <w:rFonts w:ascii="Arial" w:eastAsia="Times New Roman" w:hAnsi="Arial" w:cs="Arial"/>
          <w:color w:val="333333"/>
          <w:sz w:val="23"/>
          <w:szCs w:val="23"/>
          <w:lang w:eastAsia="ru-RU"/>
        </w:rPr>
        <w:lastRenderedPageBreak/>
        <w:t>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Раздел 5. Сведения о ценных бумагах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Подраздел 5.1. Акции и иное участие в коммерческих организациях и фондах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129.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130.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случае если служащий (работник) является учредителем организации, то данную информацию также необходимо отразить.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Если законодательством не предусмотрено формирование уставного капитала, то указывается "0 руб.".</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133. В графе "Основание участия" указывается основание приобретения доли участия (учредительный договор, приватизация, покупка, мена, дарение, наследование и </w:t>
      </w:r>
      <w:r w:rsidRPr="00BE0D10">
        <w:rPr>
          <w:rFonts w:ascii="Arial" w:eastAsia="Times New Roman" w:hAnsi="Arial" w:cs="Arial"/>
          <w:color w:val="333333"/>
          <w:sz w:val="23"/>
          <w:szCs w:val="23"/>
          <w:lang w:eastAsia="ru-RU"/>
        </w:rPr>
        <w:lastRenderedPageBreak/>
        <w:t>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Подраздел 5.2. Иные ценные бумаги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135. В подразделе 5.2 указываются все ценные бумаги по видам (облигации, векселя и другие), за исключением акций, указанных в подразделе 5.1.</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Раздел 6. Сведения об обязательствах имущественного характера</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Подраздел 6.1. Объекты недвижимого имущества, находящиеся в пользовании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138.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139. При заполнении данного подраздела требуется указывать объекты недвижимого имущества, которые непосредственно находятся в пользовании служащего </w:t>
      </w:r>
      <w:r w:rsidRPr="00BE0D10">
        <w:rPr>
          <w:rFonts w:ascii="Arial" w:eastAsia="Times New Roman" w:hAnsi="Arial" w:cs="Arial"/>
          <w:color w:val="333333"/>
          <w:sz w:val="23"/>
          <w:szCs w:val="23"/>
          <w:lang w:eastAsia="ru-RU"/>
        </w:rPr>
        <w:lastRenderedPageBreak/>
        <w:t>(работника)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отсутствует фактическое пользование этим объектом супругом;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эти объекты указаны в подразделе 3.1 соответствующей справки (аналогично в отношении несовершеннолетних детей).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141. В том числе указанию подлежат сведения о жилом помещении (дом, квартира, комната), нежилом помещении, земельном участке, гараже и т.д.:</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занимаемых по договору аренды (найма, поднайма);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занимаемых по договорам социального найма;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 принадлежащих на праве пожизненного наследуемого владения земельным участком;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142. При этом указывается общая площадь объекта недвижимого имущества, находящегося в пользовании.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143. Сведения об объектах недвижимого имущества, находящихся в пользовании, указываются по состоянию на отчетную дату.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144. В графе "Вид имущества" указывается вид недвижимого имущества (земельный участок, жилой дом, дача, квартира, комната и др.).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145. В графе "Вид и сроки пользования" указываются вид пользования (аренда, безвозмездное пользование и др.) и сроки пользования.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этом данные доли собственности должны быть отражены в подразделе 3.1. справок служащего (работника) и его супруги (супруга).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t>Подраздел 6.2. Срочные обязательства финансового характера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150. В графе "Содержание обязательства" указывается существо обязательства (заем, кредит и другие).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Например,</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w:t>
      </w:r>
      <w:r w:rsidRPr="00BE0D10">
        <w:rPr>
          <w:rFonts w:ascii="Arial" w:eastAsia="Times New Roman" w:hAnsi="Arial" w:cs="Arial"/>
          <w:color w:val="333333"/>
          <w:sz w:val="23"/>
          <w:szCs w:val="23"/>
          <w:lang w:eastAsia="ru-RU"/>
        </w:rPr>
        <w:lastRenderedPageBreak/>
        <w:t>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Данный подраздел также подлежит заполнению в случае, если лицо, в отношении которого представляются сведения, является созаемщиком.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156. Помимо прочего подлежат указанию:</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договор финансовой аренды (лизинг);</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договор займа;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договор финансирования под уступку денежного требования;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5) обязательства, связанные с заключением договора об уступке права требования;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6) обязательства вследствие причинения вреда (финансовые);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10) выкупленная дебиторская задолженность;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11) финансовые обязательства, участником которой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12) иные обязательства, в том числе установленные решением суда.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157. При этом в данном подразделе не указываются, например, договор срочного банковского вклада.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158. Отдельные виды срочных обязательств финансового характера: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3) обязательства в соответствии с Законом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BE0D10" w:rsidRPr="00BE0D10" w:rsidRDefault="00BE0D10" w:rsidP="00BE0D10">
      <w:pPr>
        <w:shd w:val="clear" w:color="auto" w:fill="FFFFFF"/>
        <w:spacing w:after="255" w:line="270" w:lineRule="atLeast"/>
        <w:outlineLvl w:val="2"/>
        <w:rPr>
          <w:rFonts w:ascii="Arial" w:eastAsia="Times New Roman" w:hAnsi="Arial" w:cs="Arial"/>
          <w:b/>
          <w:bCs/>
          <w:color w:val="333333"/>
          <w:sz w:val="26"/>
          <w:szCs w:val="26"/>
          <w:lang w:eastAsia="ru-RU"/>
        </w:rPr>
      </w:pPr>
      <w:r w:rsidRPr="00BE0D10">
        <w:rPr>
          <w:rFonts w:ascii="Arial" w:eastAsia="Times New Roman" w:hAnsi="Arial" w:cs="Arial"/>
          <w:b/>
          <w:bCs/>
          <w:color w:val="333333"/>
          <w:sz w:val="26"/>
          <w:szCs w:val="26"/>
          <w:lang w:eastAsia="ru-RU"/>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159.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этом уничтоженные объекты имущества не подлежат отражению в данном разделе справки.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162. Договор мены не подлежит отражению в данном разделе справки, так как он является возмездным.</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163. Каждый объект безвозмездной сделки указывается отдельно.</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20" w:anchor="313" w:history="1">
        <w:r w:rsidRPr="00BE0D10">
          <w:rPr>
            <w:rFonts w:ascii="Arial" w:eastAsia="Times New Roman" w:hAnsi="Arial" w:cs="Arial"/>
            <w:color w:val="808080"/>
            <w:sz w:val="23"/>
            <w:szCs w:val="23"/>
            <w:u w:val="single"/>
            <w:bdr w:val="none" w:sz="0" w:space="0" w:color="auto" w:frame="1"/>
            <w:lang w:eastAsia="ru-RU"/>
          </w:rPr>
          <w:t>пунктом 82</w:t>
        </w:r>
      </w:hyperlink>
      <w:r w:rsidRPr="00BE0D10">
        <w:rPr>
          <w:rFonts w:ascii="Arial" w:eastAsia="Times New Roman" w:hAnsi="Arial" w:cs="Arial"/>
          <w:color w:val="333333"/>
          <w:sz w:val="23"/>
          <w:szCs w:val="23"/>
          <w:lang w:eastAsia="ru-RU"/>
        </w:rPr>
        <w:t> настоящих Методических рекомендаций), местонахождение (адрес) в соответствии с </w:t>
      </w:r>
      <w:hyperlink r:id="rId21" w:anchor="323" w:history="1">
        <w:r w:rsidRPr="00BE0D10">
          <w:rPr>
            <w:rFonts w:ascii="Arial" w:eastAsia="Times New Roman" w:hAnsi="Arial" w:cs="Arial"/>
            <w:color w:val="808080"/>
            <w:sz w:val="23"/>
            <w:szCs w:val="23"/>
            <w:u w:val="single"/>
            <w:bdr w:val="none" w:sz="0" w:space="0" w:color="auto" w:frame="1"/>
            <w:lang w:eastAsia="ru-RU"/>
          </w:rPr>
          <w:t>пунктами 90-91</w:t>
        </w:r>
      </w:hyperlink>
      <w:r w:rsidRPr="00BE0D10">
        <w:rPr>
          <w:rFonts w:ascii="Arial" w:eastAsia="Times New Roman" w:hAnsi="Arial" w:cs="Arial"/>
          <w:color w:val="333333"/>
          <w:sz w:val="23"/>
          <w:szCs w:val="23"/>
          <w:lang w:eastAsia="ru-RU"/>
        </w:rPr>
        <w:t> настоящих Методических рекомендаций, площадь (кв. м) в соответствии с </w:t>
      </w:r>
      <w:hyperlink r:id="rId22" w:anchor="333" w:history="1">
        <w:r w:rsidRPr="00BE0D10">
          <w:rPr>
            <w:rFonts w:ascii="Arial" w:eastAsia="Times New Roman" w:hAnsi="Arial" w:cs="Arial"/>
            <w:color w:val="808080"/>
            <w:sz w:val="23"/>
            <w:szCs w:val="23"/>
            <w:u w:val="single"/>
            <w:bdr w:val="none" w:sz="0" w:space="0" w:color="auto" w:frame="1"/>
            <w:lang w:eastAsia="ru-RU"/>
          </w:rPr>
          <w:t>пунктом 92</w:t>
        </w:r>
      </w:hyperlink>
      <w:r w:rsidRPr="00BE0D10">
        <w:rPr>
          <w:rFonts w:ascii="Arial" w:eastAsia="Times New Roman" w:hAnsi="Arial" w:cs="Arial"/>
          <w:color w:val="333333"/>
          <w:sz w:val="23"/>
          <w:szCs w:val="23"/>
          <w:lang w:eastAsia="ru-RU"/>
        </w:rPr>
        <w:t> настоящих Методических рекомендаций.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165. В строке "Транспортные средства" рекомендуется указывать вид, марку, модель транспортного средства, год изготовления, место регистрации.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23" w:anchor="399" w:history="1">
        <w:r w:rsidRPr="00BE0D10">
          <w:rPr>
            <w:rFonts w:ascii="Arial" w:eastAsia="Times New Roman" w:hAnsi="Arial" w:cs="Arial"/>
            <w:color w:val="808080"/>
            <w:sz w:val="23"/>
            <w:szCs w:val="23"/>
            <w:u w:val="single"/>
            <w:bdr w:val="none" w:sz="0" w:space="0" w:color="auto" w:frame="1"/>
            <w:lang w:eastAsia="ru-RU"/>
          </w:rPr>
          <w:t>пунктом 130</w:t>
        </w:r>
      </w:hyperlink>
      <w:r w:rsidRPr="00BE0D10">
        <w:rPr>
          <w:rFonts w:ascii="Arial" w:eastAsia="Times New Roman" w:hAnsi="Arial" w:cs="Arial"/>
          <w:color w:val="333333"/>
          <w:sz w:val="23"/>
          <w:szCs w:val="23"/>
          <w:lang w:eastAsia="ru-RU"/>
        </w:rPr>
        <w:t> настоящих Методических рекомендаций, местонахождение организации (адрес), уставный капитал в соответствии с </w:t>
      </w:r>
      <w:hyperlink r:id="rId24" w:anchor="400" w:history="1">
        <w:r w:rsidRPr="00BE0D10">
          <w:rPr>
            <w:rFonts w:ascii="Arial" w:eastAsia="Times New Roman" w:hAnsi="Arial" w:cs="Arial"/>
            <w:color w:val="808080"/>
            <w:sz w:val="23"/>
            <w:szCs w:val="23"/>
            <w:u w:val="single"/>
            <w:bdr w:val="none" w:sz="0" w:space="0" w:color="auto" w:frame="1"/>
            <w:lang w:eastAsia="ru-RU"/>
          </w:rPr>
          <w:t>пунктом 131</w:t>
        </w:r>
      </w:hyperlink>
      <w:r w:rsidRPr="00BE0D10">
        <w:rPr>
          <w:rFonts w:ascii="Arial" w:eastAsia="Times New Roman" w:hAnsi="Arial" w:cs="Arial"/>
          <w:color w:val="333333"/>
          <w:sz w:val="23"/>
          <w:szCs w:val="23"/>
          <w:lang w:eastAsia="ru-RU"/>
        </w:rPr>
        <w:t> настоящих Методических рекомендаций, доли участия в соответствии с </w:t>
      </w:r>
      <w:hyperlink r:id="rId25" w:anchor="401" w:history="1">
        <w:r w:rsidRPr="00BE0D10">
          <w:rPr>
            <w:rFonts w:ascii="Arial" w:eastAsia="Times New Roman" w:hAnsi="Arial" w:cs="Arial"/>
            <w:color w:val="808080"/>
            <w:sz w:val="23"/>
            <w:szCs w:val="23"/>
            <w:u w:val="single"/>
            <w:bdr w:val="none" w:sz="0" w:space="0" w:color="auto" w:frame="1"/>
            <w:lang w:eastAsia="ru-RU"/>
          </w:rPr>
          <w:t>пунктом 132</w:t>
        </w:r>
      </w:hyperlink>
      <w:r w:rsidRPr="00BE0D10">
        <w:rPr>
          <w:rFonts w:ascii="Arial" w:eastAsia="Times New Roman" w:hAnsi="Arial" w:cs="Arial"/>
          <w:color w:val="333333"/>
          <w:sz w:val="23"/>
          <w:szCs w:val="23"/>
          <w:lang w:eastAsia="ru-RU"/>
        </w:rPr>
        <w:t> настоящих Методических рекомендаций.</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 xml:space="preserve">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w:t>
      </w:r>
      <w:r w:rsidRPr="00BE0D10">
        <w:rPr>
          <w:rFonts w:ascii="Arial" w:eastAsia="Times New Roman" w:hAnsi="Arial" w:cs="Arial"/>
          <w:color w:val="333333"/>
          <w:sz w:val="23"/>
          <w:szCs w:val="23"/>
          <w:lang w:eastAsia="ru-RU"/>
        </w:rPr>
        <w:lastRenderedPageBreak/>
        <w:t>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BE0D10" w:rsidRPr="00BE0D10" w:rsidRDefault="00BE0D10" w:rsidP="00BE0D10">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BE0D10">
        <w:rPr>
          <w:rFonts w:ascii="Arial" w:eastAsia="Times New Roman" w:hAnsi="Arial" w:cs="Arial"/>
          <w:b/>
          <w:bCs/>
          <w:color w:val="4D4D4D"/>
          <w:sz w:val="27"/>
          <w:szCs w:val="27"/>
          <w:lang w:eastAsia="ru-RU"/>
        </w:rPr>
        <w:t>Обзор документа</w:t>
      </w:r>
    </w:p>
    <w:p w:rsidR="00BE0D10" w:rsidRPr="00BE0D10" w:rsidRDefault="00BE0D10" w:rsidP="00BE0D10">
      <w:pPr>
        <w:spacing w:before="255" w:after="255" w:line="240" w:lineRule="auto"/>
        <w:rPr>
          <w:rFonts w:ascii="Times New Roman" w:eastAsia="Times New Roman" w:hAnsi="Times New Roman" w:cs="Times New Roman"/>
          <w:sz w:val="24"/>
          <w:szCs w:val="24"/>
          <w:lang w:eastAsia="ru-RU"/>
        </w:rPr>
      </w:pPr>
      <w:r w:rsidRPr="00BE0D10">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Минтруд разработал Методические рекомендации по вопросам предоставления сведений о доходах, расходах и формирования справки в 2020 г. (за отчетный 2019 г.).</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Сведения рекомендуется вносить на основании правоустанавливающих и иных подтверждающих официальных документов. Не следует пользоваться информацией, полученной по телефону, в т. ч. по СМС.</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При приобретении служащим (работником) и его супругой (супругом)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В графе "Сумма сделки" рекомендуется указывать полную стоимость.</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В рекомендациях также раскрыт порядок отражения обязательств в рамках страхования.</w:t>
      </w:r>
    </w:p>
    <w:p w:rsidR="00BE0D10" w:rsidRPr="00BE0D10" w:rsidRDefault="00BE0D10" w:rsidP="00BE0D10">
      <w:pPr>
        <w:shd w:val="clear" w:color="auto" w:fill="FFFFFF"/>
        <w:spacing w:after="255" w:line="270" w:lineRule="atLeast"/>
        <w:rPr>
          <w:rFonts w:ascii="Arial" w:eastAsia="Times New Roman" w:hAnsi="Arial" w:cs="Arial"/>
          <w:color w:val="333333"/>
          <w:sz w:val="23"/>
          <w:szCs w:val="23"/>
          <w:lang w:eastAsia="ru-RU"/>
        </w:rPr>
      </w:pPr>
      <w:r w:rsidRPr="00BE0D10">
        <w:rPr>
          <w:rFonts w:ascii="Arial" w:eastAsia="Times New Roman" w:hAnsi="Arial" w:cs="Arial"/>
          <w:color w:val="333333"/>
          <w:sz w:val="23"/>
          <w:szCs w:val="23"/>
          <w:lang w:eastAsia="ru-RU"/>
        </w:rPr>
        <w:t>Служащие (работники) могут предоставлять сведения в любое время начиная с 1 января года, следующего за отчетным, до установленной даты. Откладывать это до апреля не рекомендуется, особенно если гражданин планирует уйти в отпуск или убыть в длительную командировку.</w:t>
      </w:r>
    </w:p>
    <w:p w:rsidR="00E54719" w:rsidRDefault="00E54719">
      <w:bookmarkStart w:id="2" w:name="_GoBack"/>
      <w:bookmarkEnd w:id="2"/>
    </w:p>
    <w:sectPr w:rsidR="00E54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10"/>
    <w:rsid w:val="00BE0D10"/>
    <w:rsid w:val="00E5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8593">
      <w:bodyDiv w:val="1"/>
      <w:marLeft w:val="0"/>
      <w:marRight w:val="0"/>
      <w:marTop w:val="0"/>
      <w:marBottom w:val="0"/>
      <w:divBdr>
        <w:top w:val="none" w:sz="0" w:space="0" w:color="auto"/>
        <w:left w:val="none" w:sz="0" w:space="0" w:color="auto"/>
        <w:bottom w:val="none" w:sz="0" w:space="0" w:color="auto"/>
        <w:right w:val="none" w:sz="0" w:space="0" w:color="auto"/>
      </w:divBdr>
      <w:divsChild>
        <w:div w:id="1024288743">
          <w:marLeft w:val="0"/>
          <w:marRight w:val="0"/>
          <w:marTop w:val="0"/>
          <w:marBottom w:val="180"/>
          <w:divBdr>
            <w:top w:val="none" w:sz="0" w:space="0" w:color="auto"/>
            <w:left w:val="none" w:sz="0" w:space="0" w:color="auto"/>
            <w:bottom w:val="none" w:sz="0" w:space="0" w:color="auto"/>
            <w:right w:val="none" w:sz="0" w:space="0" w:color="auto"/>
          </w:divBdr>
        </w:div>
        <w:div w:id="95914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274589/" TargetMode="External"/><Relationship Id="rId13" Type="http://schemas.openxmlformats.org/officeDocument/2006/relationships/hyperlink" Target="https://www.garant.ru/products/ipo/prime/doc/73274589/" TargetMode="External"/><Relationship Id="rId18" Type="http://schemas.openxmlformats.org/officeDocument/2006/relationships/hyperlink" Target="https://www.garant.ru/products/ipo/prime/doc/7327458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arant.ru/products/ipo/prime/doc/73274589/" TargetMode="External"/><Relationship Id="rId7" Type="http://schemas.openxmlformats.org/officeDocument/2006/relationships/hyperlink" Target="https://www.garant.ru/products/ipo/prime/doc/73274589/" TargetMode="External"/><Relationship Id="rId12" Type="http://schemas.openxmlformats.org/officeDocument/2006/relationships/hyperlink" Target="https://www.garant.ru/products/ipo/prime/doc/73274589/" TargetMode="External"/><Relationship Id="rId17" Type="http://schemas.openxmlformats.org/officeDocument/2006/relationships/hyperlink" Target="https://www.garant.ru/products/ipo/prime/doc/73274589/" TargetMode="External"/><Relationship Id="rId25" Type="http://schemas.openxmlformats.org/officeDocument/2006/relationships/hyperlink" Target="https://www.garant.ru/products/ipo/prime/doc/73274589/" TargetMode="External"/><Relationship Id="rId2" Type="http://schemas.microsoft.com/office/2007/relationships/stylesWithEffects" Target="stylesWithEffects.xml"/><Relationship Id="rId16" Type="http://schemas.openxmlformats.org/officeDocument/2006/relationships/hyperlink" Target="https://www.garant.ru/products/ipo/prime/doc/73274589/" TargetMode="External"/><Relationship Id="rId20" Type="http://schemas.openxmlformats.org/officeDocument/2006/relationships/hyperlink" Target="https://www.garant.ru/products/ipo/prime/doc/73274589/" TargetMode="External"/><Relationship Id="rId1" Type="http://schemas.openxmlformats.org/officeDocument/2006/relationships/styles" Target="styles.xml"/><Relationship Id="rId6" Type="http://schemas.openxmlformats.org/officeDocument/2006/relationships/hyperlink" Target="https://www.garant.ru/products/ipo/prime/doc/73274589/" TargetMode="External"/><Relationship Id="rId11" Type="http://schemas.openxmlformats.org/officeDocument/2006/relationships/hyperlink" Target="https://www.garant.ru/products/ipo/prime/doc/73274589/" TargetMode="External"/><Relationship Id="rId24" Type="http://schemas.openxmlformats.org/officeDocument/2006/relationships/hyperlink" Target="https://www.garant.ru/products/ipo/prime/doc/73274589/" TargetMode="External"/><Relationship Id="rId5" Type="http://schemas.openxmlformats.org/officeDocument/2006/relationships/hyperlink" Target="https://www.garant.ru/products/ipo/prime/doc/73274589/" TargetMode="External"/><Relationship Id="rId15" Type="http://schemas.openxmlformats.org/officeDocument/2006/relationships/hyperlink" Target="https://www.garant.ru/products/ipo/prime/doc/73274589/" TargetMode="External"/><Relationship Id="rId23" Type="http://schemas.openxmlformats.org/officeDocument/2006/relationships/hyperlink" Target="https://www.garant.ru/products/ipo/prime/doc/73274589/" TargetMode="External"/><Relationship Id="rId10" Type="http://schemas.openxmlformats.org/officeDocument/2006/relationships/hyperlink" Target="https://www.garant.ru/products/ipo/prime/doc/73274589/" TargetMode="External"/><Relationship Id="rId19" Type="http://schemas.openxmlformats.org/officeDocument/2006/relationships/hyperlink" Target="https://www.garant.ru/products/ipo/prime/doc/73274589/" TargetMode="External"/><Relationship Id="rId4" Type="http://schemas.openxmlformats.org/officeDocument/2006/relationships/webSettings" Target="webSettings.xml"/><Relationship Id="rId9" Type="http://schemas.openxmlformats.org/officeDocument/2006/relationships/hyperlink" Target="https://www.garant.ru/products/ipo/prime/doc/73274589/" TargetMode="External"/><Relationship Id="rId14" Type="http://schemas.openxmlformats.org/officeDocument/2006/relationships/hyperlink" Target="https://www.garant.ru/products/ipo/prime/doc/73274589/" TargetMode="External"/><Relationship Id="rId22" Type="http://schemas.openxmlformats.org/officeDocument/2006/relationships/hyperlink" Target="https://www.garant.ru/products/ipo/prime/doc/7327458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18481</Words>
  <Characters>105348</Characters>
  <Application>Microsoft Office Word</Application>
  <DocSecurity>0</DocSecurity>
  <Lines>877</Lines>
  <Paragraphs>247</Paragraphs>
  <ScaleCrop>false</ScaleCrop>
  <Company>SPecialiST RePack</Company>
  <LinksUpToDate>false</LinksUpToDate>
  <CharactersWithSpaces>123582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Кулсум</dc:creator>
  <cp:lastModifiedBy>Кулсум</cp:lastModifiedBy>
  <cp:revision>2</cp:revision>
  <dcterms:created xsi:type="dcterms:W3CDTF">2020-07-22T06:39:00Z</dcterms:created>
  <dcterms:modified xsi:type="dcterms:W3CDTF">2020-07-22T06:40:00Z</dcterms:modified>
</cp:coreProperties>
</file>