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0DF5DC7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9C61C5">
        <w:rPr>
          <w:szCs w:val="28"/>
        </w:rPr>
        <w:t>0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711546EE" w14:textId="08E57A11" w:rsidR="002774E5" w:rsidRDefault="002774E5" w:rsidP="002774E5">
      <w:pPr>
        <w:ind w:firstLine="709"/>
        <w:contextualSpacing/>
        <w:jc w:val="center"/>
        <w:rPr>
          <w:bCs/>
          <w:iCs/>
          <w:szCs w:val="28"/>
        </w:rPr>
      </w:pPr>
      <w:r w:rsidRPr="002774E5">
        <w:rPr>
          <w:bCs/>
          <w:iCs/>
          <w:szCs w:val="28"/>
        </w:rPr>
        <w:t>Факты о государственном земельном контроле (надзоре)</w:t>
      </w:r>
    </w:p>
    <w:p w14:paraId="66888BA8" w14:textId="77777777" w:rsidR="002774E5" w:rsidRPr="002774E5" w:rsidRDefault="002774E5" w:rsidP="002774E5">
      <w:pPr>
        <w:ind w:firstLine="709"/>
        <w:contextualSpacing/>
        <w:jc w:val="center"/>
        <w:rPr>
          <w:bCs/>
          <w:iCs/>
          <w:szCs w:val="28"/>
        </w:rPr>
      </w:pPr>
    </w:p>
    <w:p w14:paraId="584EFE36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r w:rsidRPr="002774E5">
        <w:rPr>
          <w:bCs/>
          <w:iCs/>
          <w:szCs w:val="28"/>
        </w:rPr>
        <w:t>В соответствии с Положением о государственном земельном контроле (надзоре), утвержденным постановлением Правительства Российской Федерации от 30 июня 2021 г. № 1081 «О федеральном государственном земельном контроле (надзоре), Росреестр наделен полномочиями по осуществлению федерального государственного земельного контроля (надзора).</w:t>
      </w:r>
    </w:p>
    <w:p w14:paraId="697B513B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r w:rsidRPr="002774E5">
        <w:rPr>
          <w:bCs/>
          <w:iCs/>
          <w:szCs w:val="28"/>
        </w:rPr>
        <w:t>Так Управление Росреестра по Чеченской Республике осуществляет государственный земельный надзор за соблюдением:</w:t>
      </w:r>
    </w:p>
    <w:p w14:paraId="3AE828B0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r w:rsidRPr="002774E5">
        <w:rPr>
          <w:bCs/>
          <w:iCs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14:paraId="776DC31F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r w:rsidRPr="002774E5">
        <w:rPr>
          <w:bCs/>
          <w:iCs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8E37EA3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r w:rsidRPr="002774E5">
        <w:rPr>
          <w:bCs/>
          <w:iCs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A7E0F27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r w:rsidRPr="002774E5">
        <w:rPr>
          <w:bCs/>
          <w:iCs/>
          <w:szCs w:val="28"/>
        </w:rPr>
        <w:t>г) органами государственной власти и органами местного самоуправления требований земельного законодательства при предоставлении земель, земельных участков, находящихся в государственной и муниципальной собственности;</w:t>
      </w:r>
    </w:p>
    <w:p w14:paraId="31182023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r w:rsidRPr="002774E5">
        <w:rPr>
          <w:bCs/>
          <w:iCs/>
          <w:szCs w:val="28"/>
        </w:rPr>
        <w:t>д)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595B7CF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  <w:r w:rsidRPr="002774E5">
        <w:rPr>
          <w:bCs/>
          <w:iCs/>
          <w:szCs w:val="28"/>
        </w:rPr>
        <w:t>е) исполнения предписаний об устранении нарушений обязательных требований, выданных должностными лицами Федеральной службы государственной регистрации, кадастра и картографии (ее территориальных органов) в пределах их компетенции.</w:t>
      </w: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  <w:bookmarkStart w:id="0" w:name="_GoBack"/>
      <w:bookmarkEnd w:id="0"/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DC3D-A0BC-4130-A78F-9E3021A8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2023-08-31T07:55:00Z</dcterms:created>
  <dcterms:modified xsi:type="dcterms:W3CDTF">2023-08-31T07:55:00Z</dcterms:modified>
</cp:coreProperties>
</file>