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ИНВЕСТИЦИОННОЕ ПОСЛАНИЕ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Грозненского муниципального района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Абазова</w:t>
      </w:r>
      <w:proofErr w:type="spellEnd"/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Рустама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Имрановича</w:t>
      </w:r>
      <w:proofErr w:type="spellEnd"/>
    </w:p>
    <w:p w:rsidR="0036727A" w:rsidRPr="0036727A" w:rsidRDefault="006046F7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="0036727A"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Уважаемые жители района, предприниматели и коллеги!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Вот уже несколько лет, как мы ввели в практику подготовку документа – инвестиционное послание главы администрации Грозненского муниципального района. Главная цель этого послания – информирование о проводимой инвестиционной политике в Грозненском муниципальном районе, планируемых мерах по улучшению инвестиционного климата.</w:t>
      </w:r>
    </w:p>
    <w:p w:rsidR="0036727A" w:rsidRPr="0036727A" w:rsidRDefault="0036727A" w:rsidP="0027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 администрации Грозненского муниципального района являются: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всю территорию Грозненского муниципального района привлекательной как для жизни людей, так и для притока инвестиций;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ориентиры для потенциальных инвесторов, которые должны увидеть основные направления развития экономики, отражающие долгосрочные интересы бизнеса, населения и власти, местного сообщества;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предпосылки, обеспечивающие формирование конкурентоспособного бренда Грозненского муниципального района в долгосрочной перспективе.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Наш район один из больших и потенциально богатый по природным ресурсам в Чеченской Республике, а значит необходимо максимально привлекать инвестиции в таких отрасли, как сельское хозяйство, добывающая промышленность, а также в развитие и расширение сферы малого и среднего бизнеса по всем направлениям.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Инвестиции в агропромышленный комплекс позволят кардинально оживить инфраструктуру населённых пунктов в районе, но не стоит забывать о туризме, сфере оздоровительного отдыха и жилищного строительства. Прорыв в данных направлениях позволит не только качественно улучшить жизнь населения Грозненского муниципального района, но и привлечь дополнительные финансовые ресурсы для дальнейшего развития его инфраструктуры.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Развитие перечисленных направлений позволит в значительной степени решить вопросы занятости и увеличения доходов населения на селе. Работа эта требует больших усилий не только органов местного самоуправления района, но и самого населения.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Итак, подведём </w:t>
      </w:r>
      <w:r w:rsidR="007F145F">
        <w:rPr>
          <w:rFonts w:ascii="Times New Roman" w:hAnsi="Times New Roman" w:cs="Times New Roman"/>
          <w:sz w:val="28"/>
          <w:szCs w:val="28"/>
        </w:rPr>
        <w:t>итоги 2023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 муниципального образования, является объем инвестиций. Объём инве</w:t>
      </w:r>
      <w:r w:rsidR="00231574">
        <w:rPr>
          <w:rFonts w:ascii="Times New Roman" w:hAnsi="Times New Roman" w:cs="Times New Roman"/>
          <w:sz w:val="28"/>
          <w:szCs w:val="28"/>
        </w:rPr>
        <w:t>стиций в основной кап</w:t>
      </w:r>
      <w:r w:rsidR="00786EE7">
        <w:rPr>
          <w:rFonts w:ascii="Times New Roman" w:hAnsi="Times New Roman" w:cs="Times New Roman"/>
          <w:sz w:val="28"/>
          <w:szCs w:val="28"/>
        </w:rPr>
        <w:t>итал с января по сентябрь в 2023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году по Грозненскому </w:t>
      </w:r>
      <w:r w:rsidR="00231574">
        <w:rPr>
          <w:rFonts w:ascii="Times New Roman" w:hAnsi="Times New Roman" w:cs="Times New Roman"/>
          <w:sz w:val="28"/>
          <w:szCs w:val="28"/>
        </w:rPr>
        <w:t xml:space="preserve">муниципальному району составил </w:t>
      </w:r>
      <w:r w:rsidR="00786EE7">
        <w:rPr>
          <w:rFonts w:ascii="Times New Roman" w:hAnsi="Times New Roman" w:cs="Times New Roman"/>
          <w:sz w:val="28"/>
          <w:szCs w:val="28"/>
        </w:rPr>
        <w:t>2553</w:t>
      </w:r>
      <w:r w:rsidR="00CE654C">
        <w:rPr>
          <w:rFonts w:ascii="Times New Roman" w:hAnsi="Times New Roman" w:cs="Times New Roman"/>
          <w:sz w:val="28"/>
          <w:szCs w:val="28"/>
        </w:rPr>
        <w:t>,2</w:t>
      </w:r>
      <w:r w:rsidRPr="0036727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В расчёте на 1 жителя объём инвестиций в </w:t>
      </w:r>
      <w:r w:rsidR="00116434">
        <w:rPr>
          <w:rFonts w:ascii="Times New Roman" w:hAnsi="Times New Roman" w:cs="Times New Roman"/>
          <w:sz w:val="28"/>
          <w:szCs w:val="28"/>
        </w:rPr>
        <w:t xml:space="preserve">основной капитал </w:t>
      </w:r>
      <w:proofErr w:type="gramStart"/>
      <w:r w:rsidR="0011643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E654C">
        <w:rPr>
          <w:rFonts w:ascii="Times New Roman" w:hAnsi="Times New Roman" w:cs="Times New Roman"/>
          <w:sz w:val="28"/>
          <w:szCs w:val="28"/>
        </w:rPr>
        <w:t xml:space="preserve"> 29476</w:t>
      </w:r>
      <w:proofErr w:type="gramEnd"/>
      <w:r w:rsidR="00CE654C">
        <w:rPr>
          <w:rFonts w:ascii="Times New Roman" w:hAnsi="Times New Roman" w:cs="Times New Roman"/>
          <w:sz w:val="28"/>
          <w:szCs w:val="28"/>
        </w:rPr>
        <w:t xml:space="preserve">,2 </w:t>
      </w:r>
      <w:r w:rsidRPr="0036727A">
        <w:rPr>
          <w:rFonts w:ascii="Times New Roman" w:hAnsi="Times New Roman" w:cs="Times New Roman"/>
          <w:sz w:val="28"/>
          <w:szCs w:val="28"/>
        </w:rPr>
        <w:t>рублей.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Объ</w:t>
      </w:r>
      <w:r w:rsidR="00CE654C">
        <w:rPr>
          <w:rFonts w:ascii="Times New Roman" w:hAnsi="Times New Roman" w:cs="Times New Roman"/>
          <w:sz w:val="28"/>
          <w:szCs w:val="28"/>
        </w:rPr>
        <w:t>ем платных услуг населению 834</w:t>
      </w:r>
      <w:r w:rsidR="00231574">
        <w:rPr>
          <w:rFonts w:ascii="Times New Roman" w:hAnsi="Times New Roman" w:cs="Times New Roman"/>
          <w:sz w:val="28"/>
          <w:szCs w:val="28"/>
        </w:rPr>
        <w:t>,</w:t>
      </w:r>
      <w:r w:rsidR="00CE654C">
        <w:rPr>
          <w:rFonts w:ascii="Times New Roman" w:hAnsi="Times New Roman" w:cs="Times New Roman"/>
          <w:sz w:val="28"/>
          <w:szCs w:val="28"/>
        </w:rPr>
        <w:t>2</w:t>
      </w:r>
      <w:r w:rsidRPr="0036727A">
        <w:rPr>
          <w:rFonts w:ascii="Times New Roman" w:hAnsi="Times New Roman" w:cs="Times New Roman"/>
          <w:sz w:val="28"/>
          <w:szCs w:val="28"/>
        </w:rPr>
        <w:t xml:space="preserve"> млн. рублей, в</w:t>
      </w:r>
      <w:r w:rsidR="004E4CC4">
        <w:rPr>
          <w:rFonts w:ascii="Times New Roman" w:hAnsi="Times New Roman" w:cs="Times New Roman"/>
          <w:sz w:val="28"/>
          <w:szCs w:val="28"/>
        </w:rPr>
        <w:t xml:space="preserve"> расчёте на душу населения 9,686</w:t>
      </w:r>
      <w:r w:rsidRPr="003672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727A" w:rsidRPr="0036727A" w:rsidRDefault="0036727A" w:rsidP="001D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целях улучшения инвестиционной привлекательности и устранению нормативно-правовых, административных и организационных барьеров, в Грозненском муниципальном районе проводится значительная работа, а именно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функционирует рабочая группа по снижению административных барьеров в отношениях субъектов малого и среднего предпринимательства, расположенных на территории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функционирует Инвестиционный совет при главе администрации Грозненского муниципального района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функционирует Общественный совет предпринимателей при главе администрации Грозненского муниципального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разработаны следующие информационные инструменты для инвесторов: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инвестиционный паспорт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в информационно-телекоммуникационной сети «Интернет» создан раздел «Инвестиции»;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реестр инвестиционных площадок для возможного использования при реализации инвестиционных проектов;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внедрены в Грозненском муниципальном районе стандарты (практики) из атласа АНО «Агентства стратегических инициатив по продвижению новых проектов»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индивидуальная работа с инвесторами ведется на системной основе, с полным сопровождением всего инвестиционного процесса;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утверждена процедура реализации проектов с использованием механизма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разработана и утверждена Стратегия социально-экономического развития Грозненского муниципального района до 2025 года;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на территории Грозненского муниципального района успешно реализуется приоритетный проект «Формирование комфортной городской среды», в рамках которого осуществляется благоустройство общественных пространств и придомовых территорий многоквартирных домов. 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«Развития малого и среднего </w:t>
      </w:r>
      <w:proofErr w:type="gramStart"/>
      <w:r w:rsidRPr="0036727A">
        <w:rPr>
          <w:rFonts w:ascii="Times New Roman" w:hAnsi="Times New Roman" w:cs="Times New Roman"/>
          <w:sz w:val="28"/>
          <w:szCs w:val="28"/>
        </w:rPr>
        <w:t>предпринимательства  в</w:t>
      </w:r>
      <w:proofErr w:type="gramEnd"/>
      <w:r w:rsidRPr="0036727A">
        <w:rPr>
          <w:rFonts w:ascii="Times New Roman" w:hAnsi="Times New Roman" w:cs="Times New Roman"/>
          <w:sz w:val="28"/>
          <w:szCs w:val="28"/>
        </w:rPr>
        <w:t xml:space="preserve"> Грозненс</w:t>
      </w:r>
      <w:r w:rsidR="004E4CC4">
        <w:rPr>
          <w:rFonts w:ascii="Times New Roman" w:hAnsi="Times New Roman" w:cs="Times New Roman"/>
          <w:sz w:val="28"/>
          <w:szCs w:val="28"/>
        </w:rPr>
        <w:t>ком муниципальном районе на 2024-2025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36727A" w:rsidRPr="0036727A" w:rsidRDefault="0036727A" w:rsidP="0027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Кроме того, подробная информация о мерах поддержки субъектам бизнеса АО «Корпорация МСП», МСП-Банк размещена на сайте администрации Грозненского муниципального района в разделе «Администрация» – «Программы и меры поддержки МСП».</w:t>
      </w:r>
    </w:p>
    <w:p w:rsidR="0036727A" w:rsidRPr="0036727A" w:rsidRDefault="002749EC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27A" w:rsidRPr="0036727A">
        <w:rPr>
          <w:rFonts w:ascii="Times New Roman" w:hAnsi="Times New Roman" w:cs="Times New Roman"/>
          <w:sz w:val="28"/>
          <w:szCs w:val="28"/>
        </w:rPr>
        <w:t>а территории Грозненского муниципального района внедряются успешные практики муниципальных образований Российской Федерации по обеспечению благоприятных условий ведения бизнеса и улучшению инвестиционного климата в рамках проекта «Лучшие практики муниципальных образований». На сегодня внедрены следующие практики: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жегодное инвестиционное послание главы администрации муниципального образования;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5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ормирование системы информационной и консультационной поддержки и популяризация предпринимательской деятельности, в том числе на базе МУП «Грозненский производственный бизнес-инкубатор» и многофункциональных центров предоставления государственных и муниципальных услуг;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оздание общественного совета </w:t>
      </w:r>
      <w:r w:rsidR="0036727A"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главе администрации Грозненского муниципального района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района должно стать развитие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</w:t>
      </w:r>
      <w:bookmarkStart w:id="0" w:name="_GoBack"/>
      <w:bookmarkEnd w:id="0"/>
      <w:r w:rsidRPr="0036727A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партнёрства. Взаимодействие частного капитала и муниципальной собственности позволит найти баланс интересов муниципалитета и бизнеса, сохранить функциональное назначение объектов публичной инфраструктуры.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 очевидным преимуществам Грозненского муниципального района относится выгодное расположение вокруг столицы Чеченской Республики г. Грозный.  При необходимости имеется возможность подключения к коммуникациям.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Грозненский муниципальный район располагает свободными земельными участками, которые возможно использовать для целей реализации инвестиционных проектов.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Грозненского района богата полезными ископаемыми и главным ее богатством является нефть и газ. Основное месторождение сосредоточено на Терском хребте.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 района богаты строительным материалом и сырьем для строительной индустрии – это глина и песок.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ценным, в бальнеологическом отношении, отнесены месторождения термальных (70-92 градусов) сероводородных источников в ст. </w:t>
      </w:r>
      <w:proofErr w:type="spell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сельскохозяйственных угодий Грозненского мун</w:t>
      </w:r>
      <w:r w:rsidR="00D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составляет 84</w:t>
      </w:r>
      <w:r w:rsidR="000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га, из них п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пашни –</w:t>
      </w:r>
      <w:r w:rsidR="00097394">
        <w:rPr>
          <w:rFonts w:ascii="Times New Roman" w:eastAsia="Times New Roman" w:hAnsi="Times New Roman" w:cs="Times New Roman"/>
          <w:sz w:val="28"/>
          <w:szCs w:val="28"/>
          <w:lang w:eastAsia="ru-RU"/>
        </w:rPr>
        <w:t>56 436 га. В 2023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урожайность зерновых по се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льским хозяйствам составила 2</w:t>
      </w:r>
      <w:r w:rsidR="00097394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центнеров с гекта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В целом район получил </w:t>
      </w:r>
      <w:r w:rsidR="0079078E">
        <w:rPr>
          <w:rFonts w:ascii="Times New Roman" w:eastAsia="Times New Roman" w:hAnsi="Times New Roman" w:cs="Times New Roman"/>
          <w:sz w:val="28"/>
          <w:szCs w:val="28"/>
          <w:lang w:eastAsia="ru-RU"/>
        </w:rPr>
        <w:t>40545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зерна в бункерном весе.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7A">
        <w:rPr>
          <w:rFonts w:ascii="Times New Roman" w:eastAsia="Calibri" w:hAnsi="Times New Roman" w:cs="Times New Roman"/>
          <w:sz w:val="28"/>
          <w:szCs w:val="28"/>
        </w:rPr>
        <w:t>Общая пл</w:t>
      </w:r>
      <w:r w:rsidRPr="0036727A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щадь 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сн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фо</w:t>
      </w:r>
      <w:r w:rsidRPr="0036727A">
        <w:rPr>
          <w:rFonts w:ascii="Times New Roman" w:eastAsia="Calibri" w:hAnsi="Times New Roman" w:cs="Times New Roman"/>
          <w:sz w:val="28"/>
          <w:szCs w:val="28"/>
        </w:rPr>
        <w:t>н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36727A">
        <w:rPr>
          <w:rFonts w:ascii="Times New Roman" w:eastAsia="Calibri" w:hAnsi="Times New Roman" w:cs="Times New Roman"/>
          <w:sz w:val="28"/>
          <w:szCs w:val="28"/>
        </w:rPr>
        <w:t>а 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>ав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я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т 9,482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ты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36727A">
        <w:rPr>
          <w:rFonts w:ascii="Times New Roman" w:eastAsia="Calibri" w:hAnsi="Times New Roman" w:cs="Times New Roman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территори</w:t>
      </w:r>
      <w:r w:rsidRPr="0036727A">
        <w:rPr>
          <w:rFonts w:ascii="Times New Roman" w:eastAsia="Calibri" w:hAnsi="Times New Roman" w:cs="Times New Roman"/>
          <w:sz w:val="28"/>
          <w:szCs w:val="28"/>
        </w:rPr>
        <w:t>и 7,7%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)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27A" w:rsidRPr="0036727A" w:rsidRDefault="000A13D4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году в Грозненском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льном районе было реализовано 13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инвестиционных</w:t>
      </w:r>
      <w:r w:rsidR="001D5605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>. Общий 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инвестиций составил 965</w:t>
      </w:r>
      <w:r w:rsidR="00DA1A48">
        <w:rPr>
          <w:rFonts w:ascii="Times New Roman" w:eastAsia="Calibri" w:hAnsi="Times New Roman" w:cs="Times New Roman"/>
          <w:sz w:val="28"/>
          <w:szCs w:val="28"/>
        </w:rPr>
        <w:t xml:space="preserve"> млн. рублей.  Создано 126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вышесказанного, отмечу: Благоприятные природно-климатические и экономические условия, выгодное географическое положение, хорошая транспортная доступность, богатые биоресурсы является одними из важных преимуществ района, которые определяют объективную перспективу развития Грозненского муниципального района по таким важным направлениям как: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перерабатывающих производств;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агропромышленного комплекса;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жилищного строительства;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сферы туризма;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и среднего бизнеса</w:t>
      </w:r>
      <w:r w:rsidR="0027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Уважаемые инвесторы, предприниматели, жители района, мы продолжим работу по повышению качества инвестиционного климата в Грозненском муниципальном районе.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Всему,  что будет способствовать росту экономики Грозненского муниципального района, его инвестиционной привлекательности, мы будем оказывать всестороннюю поддержку и будем союзниками со всеми партнерами, независимо от размера бизнеса и его отраслевой принадлежности.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Грозненский муниципальный район всегда открыт для инвесторов.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энергичных деловых людей, способных на деле доказать способность внести свой вклад в социально-экономическое развитие Грозненского муниципального района.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1D5605" w:rsidRDefault="0036727A" w:rsidP="003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</w:t>
      </w:r>
      <w:r w:rsidR="001D5605">
        <w:rPr>
          <w:rFonts w:ascii="Times New Roman" w:hAnsi="Times New Roman" w:cs="Times New Roman"/>
          <w:sz w:val="28"/>
          <w:szCs w:val="28"/>
        </w:rPr>
        <w:t xml:space="preserve">                                 Абазов Рустам </w:t>
      </w:r>
      <w:proofErr w:type="spellStart"/>
      <w:r w:rsidR="001D5605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</w:p>
    <w:p w:rsidR="0036727A" w:rsidRPr="0036727A" w:rsidRDefault="0036727A" w:rsidP="0036727A">
      <w:pPr>
        <w:rPr>
          <w:color w:val="FF0000"/>
        </w:rPr>
      </w:pPr>
    </w:p>
    <w:p w:rsidR="00040E7B" w:rsidRDefault="00040E7B"/>
    <w:sectPr w:rsidR="00040E7B" w:rsidSect="00AA1207">
      <w:headerReference w:type="default" r:id="rId7"/>
      <w:pgSz w:w="11906" w:h="16838"/>
      <w:pgMar w:top="709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0E" w:rsidRDefault="00F4760E">
      <w:pPr>
        <w:spacing w:after="0" w:line="240" w:lineRule="auto"/>
      </w:pPr>
      <w:r>
        <w:separator/>
      </w:r>
    </w:p>
  </w:endnote>
  <w:endnote w:type="continuationSeparator" w:id="0">
    <w:p w:rsidR="00F4760E" w:rsidRDefault="00F4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0E" w:rsidRDefault="00F4760E">
      <w:pPr>
        <w:spacing w:after="0" w:line="240" w:lineRule="auto"/>
      </w:pPr>
      <w:r>
        <w:separator/>
      </w:r>
    </w:p>
  </w:footnote>
  <w:footnote w:type="continuationSeparator" w:id="0">
    <w:p w:rsidR="00F4760E" w:rsidRDefault="00F4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061331"/>
      <w:docPartObj>
        <w:docPartGallery w:val="Page Numbers (Top of Page)"/>
        <w:docPartUnique/>
      </w:docPartObj>
    </w:sdtPr>
    <w:sdtEndPr/>
    <w:sdtContent>
      <w:p w:rsidR="0063278C" w:rsidRDefault="00274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78C" w:rsidRDefault="00F476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E10"/>
    <w:multiLevelType w:val="hybridMultilevel"/>
    <w:tmpl w:val="C2081E80"/>
    <w:lvl w:ilvl="0" w:tplc="3722A0D0">
      <w:start w:val="1"/>
      <w:numFmt w:val="bullet"/>
      <w:lvlText w:val="−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73ED3"/>
    <w:multiLevelType w:val="hybridMultilevel"/>
    <w:tmpl w:val="F07AF8CE"/>
    <w:lvl w:ilvl="0" w:tplc="3722A0D0">
      <w:start w:val="1"/>
      <w:numFmt w:val="bullet"/>
      <w:lvlText w:val="−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78E5E74"/>
    <w:multiLevelType w:val="hybridMultilevel"/>
    <w:tmpl w:val="0D90AA6E"/>
    <w:lvl w:ilvl="0" w:tplc="4CD887E0">
      <w:start w:val="7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5"/>
    <w:rsid w:val="00040E7B"/>
    <w:rsid w:val="00097394"/>
    <w:rsid w:val="000A13D4"/>
    <w:rsid w:val="00116434"/>
    <w:rsid w:val="001D5605"/>
    <w:rsid w:val="00231574"/>
    <w:rsid w:val="002749EC"/>
    <w:rsid w:val="00284268"/>
    <w:rsid w:val="0036727A"/>
    <w:rsid w:val="004E4CC4"/>
    <w:rsid w:val="006046F7"/>
    <w:rsid w:val="00786EE7"/>
    <w:rsid w:val="0079078E"/>
    <w:rsid w:val="007F145F"/>
    <w:rsid w:val="00B84265"/>
    <w:rsid w:val="00CE654C"/>
    <w:rsid w:val="00DA1A48"/>
    <w:rsid w:val="00F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5F55D-0980-40F7-B89D-233AB386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2020-01-20T13:08:00Z</dcterms:created>
  <dcterms:modified xsi:type="dcterms:W3CDTF">2024-03-13T08:35:00Z</dcterms:modified>
</cp:coreProperties>
</file>