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F39D26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A46827">
        <w:rPr>
          <w:szCs w:val="28"/>
        </w:rPr>
        <w:t>5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5BB027F" w14:textId="77777777" w:rsidR="004074A2" w:rsidRPr="004074A2" w:rsidRDefault="004074A2" w:rsidP="004074A2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4074A2">
        <w:rPr>
          <w:bCs/>
          <w:iCs/>
          <w:szCs w:val="28"/>
        </w:rPr>
        <w:t>Исправление реестров</w:t>
      </w:r>
      <w:bookmarkStart w:id="0" w:name="_GoBack"/>
      <w:bookmarkEnd w:id="0"/>
      <w:r w:rsidRPr="004074A2">
        <w:rPr>
          <w:bCs/>
          <w:iCs/>
          <w:szCs w:val="28"/>
        </w:rPr>
        <w:t>ых ошибок</w:t>
      </w:r>
    </w:p>
    <w:p w14:paraId="125B8367" w14:textId="77777777" w:rsidR="004074A2" w:rsidRPr="004074A2" w:rsidRDefault="004074A2" w:rsidP="004074A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5BCCC1E9" w14:textId="77777777" w:rsidR="004074A2" w:rsidRPr="004074A2" w:rsidRDefault="004074A2" w:rsidP="004074A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074A2">
        <w:rPr>
          <w:bCs/>
          <w:iCs/>
          <w:szCs w:val="28"/>
        </w:rPr>
        <w:t>С начала текущего года сотрудники Управления Росреестра по Чеченской Республике исправили порядка 230 реестровых ошибок в сведениях о недвижимости. В частности, речь идёт о неточностях, касающихся местоположения границ земельных участков муниципальных образований, населенных пунктов, земель сельскохозяйственного назначения, находящихся в собственности граждан, юридических лиц и муниципалитетов.</w:t>
      </w:r>
    </w:p>
    <w:p w14:paraId="5937EA06" w14:textId="77777777" w:rsidR="004074A2" w:rsidRPr="004074A2" w:rsidRDefault="004074A2" w:rsidP="004074A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074A2">
        <w:rPr>
          <w:bCs/>
          <w:iCs/>
          <w:szCs w:val="28"/>
        </w:rPr>
        <w:t>Всего до конца 2024 года специалисты Управления Росреестра по Чеченской Республике планируют устранить около 2100 реестровых ошибок. Эта работа проводится в рамках государственной программы «Национальная система пространственных данных».</w:t>
      </w:r>
    </w:p>
    <w:p w14:paraId="5119D4FA" w14:textId="77777777" w:rsidR="004074A2" w:rsidRPr="004074A2" w:rsidRDefault="004074A2" w:rsidP="004074A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074A2">
        <w:rPr>
          <w:bCs/>
          <w:iCs/>
          <w:szCs w:val="28"/>
        </w:rPr>
        <w:t>«Ошибка может повлечь проблемы при сделках с недвижимостью или, к примеру, некорректное начисление налога. Для того чтобы самостоятельно её исправить, собственники вынуждены повторно проводить кадастровые работы за свой счёт, а иногда, если ошибку исправить невозможно, обращаться в суд. Теперь же в рамках госпрограммы решение этой проблемы не требует финансовых затрат собственников», - рассказал начальник отдела ведения ЕГРН Управления Росреестра по Чеченской Республике Усман Саиев.</w:t>
      </w:r>
    </w:p>
    <w:p w14:paraId="670C4AC4" w14:textId="77777777" w:rsidR="004074A2" w:rsidRPr="004074A2" w:rsidRDefault="004074A2" w:rsidP="004074A2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4074A2">
        <w:rPr>
          <w:bCs/>
          <w:iCs/>
          <w:szCs w:val="28"/>
        </w:rPr>
        <w:t>Справочно</w:t>
      </w:r>
      <w:proofErr w:type="spellEnd"/>
      <w:r w:rsidRPr="004074A2">
        <w:rPr>
          <w:bCs/>
          <w:iCs/>
          <w:szCs w:val="28"/>
        </w:rPr>
        <w:t>: Реестровая ошибка это воспроизведенная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взаимодействия.</w:t>
      </w: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F228-1D76-4A1F-AB86-6CEA2E3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2024-04-23T11:40:00Z</dcterms:created>
  <dcterms:modified xsi:type="dcterms:W3CDTF">2024-04-23T11:40:00Z</dcterms:modified>
</cp:coreProperties>
</file>